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5A67B" w14:textId="1D7F2539" w:rsidR="001B6BFE" w:rsidRPr="00F626E4" w:rsidRDefault="7B60CC16" w:rsidP="001B6BFE">
      <w:pPr>
        <w:pStyle w:val="Title"/>
      </w:pPr>
      <w:r>
        <w:t>National Heatwave Warning Framework</w:t>
      </w:r>
    </w:p>
    <w:p w14:paraId="0069E8A7" w14:textId="15F72743" w:rsidR="001B6BFE" w:rsidRPr="001F0A4E" w:rsidRDefault="00FB4EEE" w:rsidP="007A76BC">
      <w:r>
        <w:rPr>
          <w:noProof/>
        </w:rPr>
        <w:drawing>
          <wp:inline distT="0" distB="0" distL="0" distR="0" wp14:anchorId="45A9E42C" wp14:editId="5FF7F2FF">
            <wp:extent cx="6102000" cy="4068000"/>
            <wp:effectExtent l="0" t="0" r="0" b="8890"/>
            <wp:docPr id="1" name="Picture 1" descr="Group of people walking outside. One person holds an umbrella. The others are wearing hats or covering their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oup of people walking outside. One person holds an umbrella. The others are wearing hats or covering their heads."/>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02000" cy="4068000"/>
                    </a:xfrm>
                    <a:prstGeom prst="rect">
                      <a:avLst/>
                    </a:prstGeom>
                    <a:ln>
                      <a:noFill/>
                    </a:ln>
                    <a:extLst>
                      <a:ext uri="{53640926-AAD7-44D8-BBD7-CCE9431645EC}">
                        <a14:shadowObscured xmlns:a14="http://schemas.microsoft.com/office/drawing/2010/main"/>
                      </a:ext>
                    </a:extLst>
                  </pic:spPr>
                </pic:pic>
              </a:graphicData>
            </a:graphic>
          </wp:inline>
        </w:drawing>
      </w:r>
    </w:p>
    <w:p w14:paraId="54435140" w14:textId="77777777" w:rsidR="00BC26C8" w:rsidRDefault="00BC26C8">
      <w:pPr>
        <w:spacing w:after="0" w:line="240" w:lineRule="auto"/>
      </w:pPr>
      <w:r>
        <w:br w:type="page"/>
      </w:r>
    </w:p>
    <w:p w14:paraId="0708BE8A" w14:textId="77777777" w:rsidR="00FB4EEE" w:rsidRPr="00CE4D76" w:rsidRDefault="7B60CC16" w:rsidP="00FB4EEE">
      <w:pPr>
        <w:rPr>
          <w:rStyle w:val="Strong"/>
        </w:rPr>
      </w:pPr>
      <w:r w:rsidRPr="674B62DA">
        <w:rPr>
          <w:rStyle w:val="Strong"/>
        </w:rPr>
        <w:lastRenderedPageBreak/>
        <w:t>Review status</w:t>
      </w:r>
    </w:p>
    <w:tbl>
      <w:tblPr>
        <w:tblStyle w:val="TableGrid"/>
        <w:tblW w:w="0" w:type="auto"/>
        <w:tblLook w:val="04A0" w:firstRow="1" w:lastRow="0" w:firstColumn="1" w:lastColumn="0" w:noHBand="0" w:noVBand="1"/>
      </w:tblPr>
      <w:tblGrid>
        <w:gridCol w:w="1413"/>
        <w:gridCol w:w="1134"/>
        <w:gridCol w:w="1984"/>
        <w:gridCol w:w="5097"/>
      </w:tblGrid>
      <w:tr w:rsidR="00FB4EEE" w14:paraId="15F32C13" w14:textId="77777777" w:rsidTr="674B62DA">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75827132" w14:textId="77777777" w:rsidR="00FB4EEE" w:rsidRDefault="00FB4EEE" w:rsidP="004F1B39">
            <w:pPr>
              <w:spacing w:before="120"/>
            </w:pPr>
            <w:r>
              <w:t>Date</w:t>
            </w:r>
          </w:p>
        </w:tc>
        <w:tc>
          <w:tcPr>
            <w:tcW w:w="1134" w:type="dxa"/>
          </w:tcPr>
          <w:p w14:paraId="283D8CCB" w14:textId="77777777" w:rsidR="00FB4EEE" w:rsidRDefault="00FB4EEE" w:rsidP="004F1B39">
            <w:pPr>
              <w:spacing w:before="120"/>
            </w:pPr>
            <w:r>
              <w:t>Version</w:t>
            </w:r>
          </w:p>
        </w:tc>
        <w:tc>
          <w:tcPr>
            <w:tcW w:w="1984" w:type="dxa"/>
          </w:tcPr>
          <w:p w14:paraId="5C4F0483" w14:textId="77777777" w:rsidR="00FB4EEE" w:rsidRDefault="00FB4EEE" w:rsidP="004F1B39">
            <w:pPr>
              <w:spacing w:before="120"/>
            </w:pPr>
            <w:r>
              <w:t>Reviewer</w:t>
            </w:r>
          </w:p>
        </w:tc>
        <w:tc>
          <w:tcPr>
            <w:tcW w:w="5097" w:type="dxa"/>
          </w:tcPr>
          <w:p w14:paraId="5E6CFB57" w14:textId="77777777" w:rsidR="00FB4EEE" w:rsidRDefault="00FB4EEE" w:rsidP="004F1B39">
            <w:pPr>
              <w:spacing w:before="120"/>
            </w:pPr>
            <w:r>
              <w:t>Description</w:t>
            </w:r>
          </w:p>
        </w:tc>
      </w:tr>
      <w:tr w:rsidR="00FB4EEE" w14:paraId="6509228B" w14:textId="77777777" w:rsidTr="674B62DA">
        <w:trPr>
          <w:cnfStyle w:val="000000100000" w:firstRow="0" w:lastRow="0" w:firstColumn="0" w:lastColumn="0" w:oddVBand="0" w:evenVBand="0" w:oddHBand="1" w:evenHBand="0" w:firstRowFirstColumn="0" w:firstRowLastColumn="0" w:lastRowFirstColumn="0" w:lastRowLastColumn="0"/>
        </w:trPr>
        <w:tc>
          <w:tcPr>
            <w:tcW w:w="1413" w:type="dxa"/>
          </w:tcPr>
          <w:p w14:paraId="2CEE84DC" w14:textId="37987766" w:rsidR="00FB4EEE" w:rsidRDefault="2EA357D1" w:rsidP="004F1B39">
            <w:pPr>
              <w:spacing w:before="120"/>
            </w:pPr>
            <w:r>
              <w:t>3/02/2023</w:t>
            </w:r>
          </w:p>
        </w:tc>
        <w:tc>
          <w:tcPr>
            <w:tcW w:w="1134" w:type="dxa"/>
          </w:tcPr>
          <w:p w14:paraId="556BA8FD" w14:textId="77777777" w:rsidR="00FB4EEE" w:rsidRDefault="00FB4EEE" w:rsidP="004F1B39">
            <w:pPr>
              <w:spacing w:before="120"/>
            </w:pPr>
            <w:r>
              <w:t>0.13</w:t>
            </w:r>
          </w:p>
        </w:tc>
        <w:tc>
          <w:tcPr>
            <w:tcW w:w="1984" w:type="dxa"/>
          </w:tcPr>
          <w:p w14:paraId="1E3ECD2D" w14:textId="77777777" w:rsidR="00FB4EEE" w:rsidRDefault="00FB4EEE" w:rsidP="004F1B39">
            <w:pPr>
              <w:spacing w:before="120"/>
            </w:pPr>
            <w:r>
              <w:t>Hazard Services Forum</w:t>
            </w:r>
          </w:p>
        </w:tc>
        <w:tc>
          <w:tcPr>
            <w:tcW w:w="5097" w:type="dxa"/>
          </w:tcPr>
          <w:p w14:paraId="6A51F3F6" w14:textId="77777777" w:rsidR="00FB4EEE" w:rsidRDefault="00FB4EEE" w:rsidP="004F1B39">
            <w:pPr>
              <w:spacing w:before="120"/>
            </w:pPr>
            <w:r>
              <w:t>For Committee to review and approve</w:t>
            </w:r>
          </w:p>
        </w:tc>
      </w:tr>
      <w:tr w:rsidR="00FB4EEE" w14:paraId="6823D990" w14:textId="77777777" w:rsidTr="674B62DA">
        <w:trPr>
          <w:cnfStyle w:val="000000010000" w:firstRow="0" w:lastRow="0" w:firstColumn="0" w:lastColumn="0" w:oddVBand="0" w:evenVBand="0" w:oddHBand="0" w:evenHBand="1" w:firstRowFirstColumn="0" w:firstRowLastColumn="0" w:lastRowFirstColumn="0" w:lastRowLastColumn="0"/>
        </w:trPr>
        <w:tc>
          <w:tcPr>
            <w:tcW w:w="1413" w:type="dxa"/>
          </w:tcPr>
          <w:p w14:paraId="2A7F2A34" w14:textId="6F294863" w:rsidR="00FB4EEE" w:rsidRDefault="1733B458" w:rsidP="004F1B39">
            <w:pPr>
              <w:spacing w:before="120"/>
            </w:pPr>
            <w:r>
              <w:t>21/07/2023</w:t>
            </w:r>
          </w:p>
        </w:tc>
        <w:tc>
          <w:tcPr>
            <w:tcW w:w="1134" w:type="dxa"/>
          </w:tcPr>
          <w:p w14:paraId="6B82E275" w14:textId="77777777" w:rsidR="00FB4EEE" w:rsidRDefault="00FB4EEE" w:rsidP="004F1B39">
            <w:pPr>
              <w:spacing w:before="120"/>
            </w:pPr>
            <w:r>
              <w:t>0.13</w:t>
            </w:r>
          </w:p>
        </w:tc>
        <w:tc>
          <w:tcPr>
            <w:tcW w:w="1984" w:type="dxa"/>
          </w:tcPr>
          <w:p w14:paraId="17368CFB" w14:textId="77777777" w:rsidR="00FB4EEE" w:rsidRDefault="00FB4EEE" w:rsidP="004F1B39">
            <w:pPr>
              <w:spacing w:before="120"/>
            </w:pPr>
            <w:r>
              <w:t>ANZEMC</w:t>
            </w:r>
          </w:p>
        </w:tc>
        <w:tc>
          <w:tcPr>
            <w:tcW w:w="5097" w:type="dxa"/>
          </w:tcPr>
          <w:p w14:paraId="22CB3102" w14:textId="77777777" w:rsidR="00FB4EEE" w:rsidRDefault="00FB4EEE" w:rsidP="004F1B39">
            <w:pPr>
              <w:spacing w:before="120"/>
            </w:pPr>
            <w:r>
              <w:t>For Committee to review and approve</w:t>
            </w:r>
          </w:p>
        </w:tc>
      </w:tr>
    </w:tbl>
    <w:p w14:paraId="4B9ABFF6" w14:textId="77777777" w:rsidR="00F54DA8" w:rsidRDefault="00F54DA8" w:rsidP="00FB4EEE">
      <w:pPr>
        <w:rPr>
          <w:rStyle w:val="Strong"/>
        </w:rPr>
      </w:pPr>
    </w:p>
    <w:p w14:paraId="425E6039" w14:textId="4442A402" w:rsidR="00FB4EEE" w:rsidRPr="00CE4D76" w:rsidRDefault="7B60CC16" w:rsidP="00FB4EEE">
      <w:pPr>
        <w:rPr>
          <w:rStyle w:val="Strong"/>
        </w:rPr>
      </w:pPr>
      <w:r w:rsidRPr="674B62DA">
        <w:rPr>
          <w:rStyle w:val="Strong"/>
        </w:rPr>
        <w:t>Release history</w:t>
      </w:r>
    </w:p>
    <w:tbl>
      <w:tblPr>
        <w:tblStyle w:val="TableGrid"/>
        <w:tblW w:w="0" w:type="auto"/>
        <w:tblLook w:val="04A0" w:firstRow="1" w:lastRow="0" w:firstColumn="1" w:lastColumn="0" w:noHBand="0" w:noVBand="1"/>
      </w:tblPr>
      <w:tblGrid>
        <w:gridCol w:w="1413"/>
        <w:gridCol w:w="1134"/>
        <w:gridCol w:w="1984"/>
        <w:gridCol w:w="5097"/>
      </w:tblGrid>
      <w:tr w:rsidR="00FB4EEE" w14:paraId="4E702BE2" w14:textId="77777777" w:rsidTr="004F1B39">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399E4EA9" w14:textId="77777777" w:rsidR="00FB4EEE" w:rsidRDefault="00FB4EEE" w:rsidP="004F1B39">
            <w:pPr>
              <w:spacing w:before="120"/>
            </w:pPr>
            <w:r>
              <w:t>Date</w:t>
            </w:r>
          </w:p>
        </w:tc>
        <w:tc>
          <w:tcPr>
            <w:tcW w:w="1134" w:type="dxa"/>
          </w:tcPr>
          <w:p w14:paraId="093C8F13" w14:textId="77777777" w:rsidR="00FB4EEE" w:rsidRDefault="00FB4EEE" w:rsidP="004F1B39">
            <w:pPr>
              <w:spacing w:before="120"/>
            </w:pPr>
            <w:r>
              <w:t>Version</w:t>
            </w:r>
          </w:p>
        </w:tc>
        <w:tc>
          <w:tcPr>
            <w:tcW w:w="1984" w:type="dxa"/>
          </w:tcPr>
          <w:p w14:paraId="73499208" w14:textId="77777777" w:rsidR="00FB4EEE" w:rsidRDefault="00FB4EEE" w:rsidP="004F1B39">
            <w:pPr>
              <w:spacing w:before="120"/>
            </w:pPr>
            <w:r>
              <w:t>Status</w:t>
            </w:r>
          </w:p>
        </w:tc>
        <w:tc>
          <w:tcPr>
            <w:tcW w:w="5097" w:type="dxa"/>
          </w:tcPr>
          <w:p w14:paraId="68743DB5" w14:textId="77777777" w:rsidR="00FB4EEE" w:rsidRDefault="00FB4EEE" w:rsidP="004F1B39">
            <w:pPr>
              <w:spacing w:before="120"/>
            </w:pPr>
            <w:r>
              <w:t>Approval</w:t>
            </w:r>
          </w:p>
        </w:tc>
      </w:tr>
      <w:tr w:rsidR="00FB4EEE" w14:paraId="016C0420" w14:textId="77777777" w:rsidTr="004F1B39">
        <w:trPr>
          <w:cnfStyle w:val="000000100000" w:firstRow="0" w:lastRow="0" w:firstColumn="0" w:lastColumn="0" w:oddVBand="0" w:evenVBand="0" w:oddHBand="1" w:evenHBand="0" w:firstRowFirstColumn="0" w:firstRowLastColumn="0" w:lastRowFirstColumn="0" w:lastRowLastColumn="0"/>
        </w:trPr>
        <w:tc>
          <w:tcPr>
            <w:tcW w:w="1413" w:type="dxa"/>
          </w:tcPr>
          <w:p w14:paraId="405062DB" w14:textId="30DF70E1" w:rsidR="00FB4EEE" w:rsidRDefault="00E851DA" w:rsidP="004F1B39">
            <w:pPr>
              <w:spacing w:before="120"/>
            </w:pPr>
            <w:r>
              <w:t>13/11/2023</w:t>
            </w:r>
          </w:p>
        </w:tc>
        <w:tc>
          <w:tcPr>
            <w:tcW w:w="1134" w:type="dxa"/>
          </w:tcPr>
          <w:p w14:paraId="66ED38A8" w14:textId="56E53132" w:rsidR="00FB4EEE" w:rsidRDefault="00C26302" w:rsidP="004F1B39">
            <w:pPr>
              <w:spacing w:before="120"/>
            </w:pPr>
            <w:r>
              <w:t>1.0</w:t>
            </w:r>
          </w:p>
        </w:tc>
        <w:tc>
          <w:tcPr>
            <w:tcW w:w="1984" w:type="dxa"/>
          </w:tcPr>
          <w:p w14:paraId="35A381B6" w14:textId="5C164840" w:rsidR="00FB4EEE" w:rsidRDefault="00892603" w:rsidP="004F1B39">
            <w:pPr>
              <w:spacing w:before="120"/>
            </w:pPr>
            <w:r>
              <w:t>Published</w:t>
            </w:r>
          </w:p>
        </w:tc>
        <w:tc>
          <w:tcPr>
            <w:tcW w:w="5097" w:type="dxa"/>
          </w:tcPr>
          <w:p w14:paraId="5CB4068C" w14:textId="1DCAF0FB" w:rsidR="00FB4EEE" w:rsidRDefault="00673218" w:rsidP="004F1B39">
            <w:pPr>
              <w:spacing w:before="120"/>
            </w:pPr>
            <w:r>
              <w:t>Hazard Service For</w:t>
            </w:r>
            <w:r w:rsidR="001C0130">
              <w:t>um</w:t>
            </w:r>
            <w:r>
              <w:t xml:space="preserve"> and ANZEMC</w:t>
            </w:r>
          </w:p>
        </w:tc>
      </w:tr>
    </w:tbl>
    <w:p w14:paraId="27E6FC3E" w14:textId="77777777" w:rsidR="00FB4EEE" w:rsidRDefault="7B60CC16" w:rsidP="00FB4EEE">
      <w:pPr>
        <w:spacing w:before="120"/>
      </w:pPr>
      <w:r>
        <w:rPr>
          <w:noProof/>
        </w:rPr>
        <w:drawing>
          <wp:inline distT="0" distB="0" distL="0" distR="0" wp14:anchorId="70087A24" wp14:editId="5259E067">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6367AE57" w14:textId="77777777" w:rsidR="00FB4EEE" w:rsidRPr="00921A63" w:rsidRDefault="00FB4EEE" w:rsidP="00FB4EEE">
      <w:pPr>
        <w:spacing w:before="120"/>
      </w:pPr>
      <w:r w:rsidRPr="008918E8">
        <w:t>Unless otherwise noted, all images in this document are licensed under the Creative Commons Attribution Australia Licence.</w:t>
      </w:r>
    </w:p>
    <w:p w14:paraId="1B982074" w14:textId="77777777" w:rsidR="00FB4EEE" w:rsidRPr="00921A63" w:rsidRDefault="00FB4EEE" w:rsidP="00FB4EEE">
      <w:r w:rsidRPr="00BD31A0">
        <w:t>© Commonwealth of Australia 2022</w:t>
      </w:r>
    </w:p>
    <w:p w14:paraId="3621C008" w14:textId="77777777" w:rsidR="00FB4EEE" w:rsidRPr="00921A63" w:rsidRDefault="00FB4EEE" w:rsidP="00FB4EEE">
      <w:r w:rsidRPr="00921A63">
        <w:t>Published by the Bureau of Meteorology</w:t>
      </w:r>
    </w:p>
    <w:p w14:paraId="47D0CE18" w14:textId="0D8BA022" w:rsidR="00FB4EEE" w:rsidRDefault="7B60CC16" w:rsidP="00FB4EEE">
      <w:r>
        <w:t xml:space="preserve">Cover image: </w:t>
      </w:r>
      <w:r w:rsidR="37DFE7BF">
        <w:t>People at a fair on a hot day in Eungella, Queensland, in October 2021 purchased under licence from iStockphoto.com.</w:t>
      </w:r>
    </w:p>
    <w:p w14:paraId="4E0116FB" w14:textId="77777777" w:rsidR="00FB4EEE" w:rsidRPr="00CE4D76" w:rsidRDefault="7B60CC16" w:rsidP="00FB4EEE">
      <w:pPr>
        <w:rPr>
          <w:rStyle w:val="Strong"/>
        </w:rPr>
      </w:pPr>
      <w:r w:rsidRPr="674B62DA">
        <w:rPr>
          <w:rStyle w:val="Strong"/>
        </w:rPr>
        <w:t>Disclaimer</w:t>
      </w:r>
    </w:p>
    <w:p w14:paraId="1ADB7447" w14:textId="77777777" w:rsidR="00FB4EEE" w:rsidRDefault="7B60CC16" w:rsidP="00FB4EEE">
      <w:pPr>
        <w:spacing w:after="0" w:line="240" w:lineRule="auto"/>
      </w:pPr>
      <w:r>
        <w:t>This work is copyright. Apart from any use as permitted under the Copyright Act 1968, no part may be reproduced without prior written permission from the Bureau of Meteorology. Refer to www.bom.gov.au/other/copyright.shtml for further information.</w:t>
      </w:r>
    </w:p>
    <w:p w14:paraId="097DA6E1" w14:textId="1372887C" w:rsidR="0015051D" w:rsidRDefault="0015051D">
      <w:pPr>
        <w:spacing w:after="0" w:line="240" w:lineRule="auto"/>
        <w:sectPr w:rsidR="0015051D" w:rsidSect="001D62BB">
          <w:headerReference w:type="even" r:id="rId14"/>
          <w:headerReference w:type="default" r:id="rId15"/>
          <w:footerReference w:type="even" r:id="rId16"/>
          <w:footerReference w:type="default" r:id="rId17"/>
          <w:headerReference w:type="first" r:id="rId18"/>
          <w:footerReference w:type="first" r:id="rId19"/>
          <w:pgSz w:w="11906" w:h="16838"/>
          <w:pgMar w:top="2041" w:right="1134" w:bottom="1418" w:left="1134" w:header="567" w:footer="709" w:gutter="0"/>
          <w:cols w:space="708"/>
          <w:titlePg/>
          <w:docGrid w:linePitch="360"/>
        </w:sectPr>
      </w:pPr>
    </w:p>
    <w:p w14:paraId="0E87FE2F" w14:textId="02249A8B" w:rsidR="00F1364E" w:rsidRDefault="07B0E262" w:rsidP="0015051D">
      <w:pPr>
        <w:pStyle w:val="Heading1"/>
      </w:pPr>
      <w:r>
        <w:lastRenderedPageBreak/>
        <w:t>Acknowledgements</w:t>
      </w:r>
    </w:p>
    <w:p w14:paraId="6E07E6D3" w14:textId="3A678D93" w:rsidR="0015051D" w:rsidRDefault="0015051D" w:rsidP="0015051D">
      <w:r>
        <w:t>The Bureau of Meteorology would like to thank everyone who contributed to the development of the Heatwave Warning Framework.</w:t>
      </w:r>
    </w:p>
    <w:p w14:paraId="5E89A97B" w14:textId="77777777" w:rsidR="001357A1" w:rsidRDefault="001357A1" w:rsidP="001357A1">
      <w:pPr>
        <w:spacing w:after="0" w:line="240" w:lineRule="auto"/>
        <w:rPr>
          <w:b/>
          <w:bCs/>
        </w:rPr>
        <w:sectPr w:rsidR="001357A1" w:rsidSect="0055334E">
          <w:pgSz w:w="11906" w:h="16838"/>
          <w:pgMar w:top="2041" w:right="1134" w:bottom="1418" w:left="1134" w:header="567" w:footer="709" w:gutter="0"/>
          <w:cols w:space="708"/>
          <w:titlePg/>
          <w:docGrid w:linePitch="360"/>
        </w:sectPr>
      </w:pPr>
    </w:p>
    <w:p w14:paraId="50915B0C" w14:textId="0215C718" w:rsidR="0015051D" w:rsidRDefault="07B0E262" w:rsidP="0055334E">
      <w:pPr>
        <w:spacing w:after="0" w:line="240" w:lineRule="auto"/>
        <w:rPr>
          <w:b/>
          <w:bCs/>
        </w:rPr>
      </w:pPr>
      <w:r w:rsidRPr="674B62DA">
        <w:rPr>
          <w:b/>
          <w:bCs/>
        </w:rPr>
        <w:t>Australian Capital Territory</w:t>
      </w:r>
    </w:p>
    <w:p w14:paraId="66799AFD" w14:textId="610D9733" w:rsidR="0015051D" w:rsidRDefault="07B0E262" w:rsidP="0015051D">
      <w:pPr>
        <w:pStyle w:val="ListParagraph"/>
        <w:numPr>
          <w:ilvl w:val="0"/>
          <w:numId w:val="41"/>
        </w:numPr>
        <w:ind w:left="426"/>
      </w:pPr>
      <w:r>
        <w:t>Chris Kelly</w:t>
      </w:r>
    </w:p>
    <w:p w14:paraId="736952A7" w14:textId="2E2817F3" w:rsidR="0015051D" w:rsidRDefault="07B0E262" w:rsidP="0015051D">
      <w:pPr>
        <w:pStyle w:val="ListParagraph"/>
        <w:numPr>
          <w:ilvl w:val="0"/>
          <w:numId w:val="41"/>
        </w:numPr>
        <w:ind w:left="426"/>
      </w:pPr>
      <w:r>
        <w:t>David Foot</w:t>
      </w:r>
    </w:p>
    <w:p w14:paraId="0770EAEE" w14:textId="01C6E903" w:rsidR="0015051D" w:rsidRDefault="07B0E262" w:rsidP="0015051D">
      <w:pPr>
        <w:pStyle w:val="ListParagraph"/>
        <w:numPr>
          <w:ilvl w:val="0"/>
          <w:numId w:val="41"/>
        </w:numPr>
        <w:ind w:left="426"/>
      </w:pPr>
      <w:r>
        <w:t>David Horner</w:t>
      </w:r>
    </w:p>
    <w:p w14:paraId="4897F8B6" w14:textId="69F42871" w:rsidR="0015051D" w:rsidRDefault="07B0E262" w:rsidP="0015051D">
      <w:pPr>
        <w:pStyle w:val="ListParagraph"/>
        <w:numPr>
          <w:ilvl w:val="0"/>
          <w:numId w:val="41"/>
        </w:numPr>
        <w:ind w:left="426"/>
      </w:pPr>
      <w:r>
        <w:t>Scott Hanckel</w:t>
      </w:r>
    </w:p>
    <w:p w14:paraId="351CD39A" w14:textId="12175CD4" w:rsidR="0015051D" w:rsidRDefault="0015051D" w:rsidP="0015051D">
      <w:r>
        <w:rPr>
          <w:b/>
          <w:bCs/>
        </w:rPr>
        <w:t>Commonwealth</w:t>
      </w:r>
    </w:p>
    <w:p w14:paraId="19541267" w14:textId="7BF8BC8E" w:rsidR="0015051D" w:rsidRDefault="7D1DEFCC" w:rsidP="0015051D">
      <w:pPr>
        <w:pStyle w:val="ListParagraph"/>
        <w:numPr>
          <w:ilvl w:val="0"/>
          <w:numId w:val="42"/>
        </w:numPr>
        <w:ind w:left="426"/>
      </w:pPr>
      <w:r>
        <w:t>Adam Lambert</w:t>
      </w:r>
    </w:p>
    <w:p w14:paraId="0BACB463" w14:textId="4BD5C735" w:rsidR="00A85E3F" w:rsidRDefault="7D1DEFCC" w:rsidP="0015051D">
      <w:pPr>
        <w:pStyle w:val="ListParagraph"/>
        <w:numPr>
          <w:ilvl w:val="0"/>
          <w:numId w:val="42"/>
        </w:numPr>
        <w:ind w:left="426"/>
      </w:pPr>
      <w:r>
        <w:t>Leighton Morvell</w:t>
      </w:r>
    </w:p>
    <w:p w14:paraId="63225404" w14:textId="7E96F1C1" w:rsidR="00A85E3F" w:rsidRDefault="7D1DEFCC" w:rsidP="0015051D">
      <w:pPr>
        <w:pStyle w:val="ListParagraph"/>
        <w:numPr>
          <w:ilvl w:val="0"/>
          <w:numId w:val="42"/>
        </w:numPr>
        <w:ind w:left="426"/>
      </w:pPr>
      <w:r>
        <w:t>Rhonda Owen</w:t>
      </w:r>
    </w:p>
    <w:p w14:paraId="76C09A7A" w14:textId="760769EB" w:rsidR="00A85E3F" w:rsidRDefault="7D1DEFCC" w:rsidP="0015051D">
      <w:pPr>
        <w:pStyle w:val="ListParagraph"/>
        <w:numPr>
          <w:ilvl w:val="0"/>
          <w:numId w:val="42"/>
        </w:numPr>
        <w:ind w:left="426"/>
      </w:pPr>
      <w:r>
        <w:t>Sally Mclean</w:t>
      </w:r>
    </w:p>
    <w:p w14:paraId="1082A15F" w14:textId="3B5619F1" w:rsidR="00A85E3F" w:rsidRPr="0015051D" w:rsidRDefault="7D1DEFCC" w:rsidP="0055334E">
      <w:pPr>
        <w:pStyle w:val="ListParagraph"/>
        <w:numPr>
          <w:ilvl w:val="0"/>
          <w:numId w:val="42"/>
        </w:numPr>
        <w:ind w:left="426"/>
      </w:pPr>
      <w:r>
        <w:t>Steve Dwyer</w:t>
      </w:r>
    </w:p>
    <w:p w14:paraId="1E2CD15E" w14:textId="1172F01C" w:rsidR="0015051D" w:rsidRDefault="00E4034F" w:rsidP="0015051D">
      <w:r>
        <w:rPr>
          <w:b/>
          <w:bCs/>
        </w:rPr>
        <w:t>New South Wales</w:t>
      </w:r>
    </w:p>
    <w:p w14:paraId="2CB124BC" w14:textId="2F676EFB" w:rsidR="00E4034F" w:rsidRDefault="6F31C36E" w:rsidP="00E4034F">
      <w:pPr>
        <w:pStyle w:val="ListParagraph"/>
        <w:numPr>
          <w:ilvl w:val="0"/>
          <w:numId w:val="43"/>
        </w:numPr>
        <w:ind w:left="426"/>
      </w:pPr>
      <w:r>
        <w:t>Aditya Vyas</w:t>
      </w:r>
    </w:p>
    <w:p w14:paraId="085CC818" w14:textId="0227ADA1" w:rsidR="00E4034F" w:rsidRDefault="6F31C36E" w:rsidP="00E4034F">
      <w:pPr>
        <w:pStyle w:val="ListParagraph"/>
        <w:numPr>
          <w:ilvl w:val="0"/>
          <w:numId w:val="43"/>
        </w:numPr>
        <w:ind w:left="426"/>
      </w:pPr>
      <w:r>
        <w:t>Bethany Lansom</w:t>
      </w:r>
    </w:p>
    <w:p w14:paraId="18129A67" w14:textId="3AAC4525" w:rsidR="00E4034F" w:rsidRDefault="6F31C36E" w:rsidP="00E4034F">
      <w:pPr>
        <w:pStyle w:val="ListParagraph"/>
        <w:numPr>
          <w:ilvl w:val="0"/>
          <w:numId w:val="43"/>
        </w:numPr>
        <w:ind w:left="426"/>
      </w:pPr>
      <w:r>
        <w:t>Danielle Meggos</w:t>
      </w:r>
    </w:p>
    <w:p w14:paraId="3EEF7D00" w14:textId="1A9BBBE8" w:rsidR="00E4034F" w:rsidRDefault="6F31C36E" w:rsidP="00E4034F">
      <w:pPr>
        <w:pStyle w:val="ListParagraph"/>
        <w:numPr>
          <w:ilvl w:val="0"/>
          <w:numId w:val="43"/>
        </w:numPr>
        <w:ind w:left="426"/>
      </w:pPr>
      <w:r>
        <w:t>Emily O'Brien</w:t>
      </w:r>
    </w:p>
    <w:p w14:paraId="7F9D94DC" w14:textId="2E618A9B" w:rsidR="00E4034F" w:rsidRDefault="6F31C36E" w:rsidP="00E4034F">
      <w:pPr>
        <w:pStyle w:val="ListParagraph"/>
        <w:numPr>
          <w:ilvl w:val="0"/>
          <w:numId w:val="43"/>
        </w:numPr>
        <w:ind w:left="426"/>
      </w:pPr>
      <w:r>
        <w:t>Rosemary Hegner</w:t>
      </w:r>
    </w:p>
    <w:p w14:paraId="0C42DBDE" w14:textId="356F728B" w:rsidR="001357A1" w:rsidRDefault="720BE70B" w:rsidP="00E4034F">
      <w:pPr>
        <w:ind w:left="66"/>
        <w:rPr>
          <w:b/>
          <w:bCs/>
        </w:rPr>
      </w:pPr>
      <w:r w:rsidRPr="674B62DA">
        <w:rPr>
          <w:b/>
          <w:bCs/>
        </w:rPr>
        <w:t>Northern Territory</w:t>
      </w:r>
    </w:p>
    <w:p w14:paraId="7B1E3363" w14:textId="4BDCC5C2" w:rsidR="001357A1" w:rsidRDefault="720BE70B" w:rsidP="0055334E">
      <w:pPr>
        <w:pStyle w:val="ListParagraph"/>
        <w:numPr>
          <w:ilvl w:val="0"/>
          <w:numId w:val="44"/>
        </w:numPr>
        <w:ind w:left="426"/>
      </w:pPr>
      <w:r>
        <w:t>Danielle Esler</w:t>
      </w:r>
    </w:p>
    <w:p w14:paraId="520D6472" w14:textId="5238DD15" w:rsidR="001357A1" w:rsidRDefault="720BE70B" w:rsidP="0055334E">
      <w:pPr>
        <w:pStyle w:val="ListParagraph"/>
        <w:numPr>
          <w:ilvl w:val="0"/>
          <w:numId w:val="44"/>
        </w:numPr>
        <w:ind w:left="426"/>
      </w:pPr>
      <w:r>
        <w:t>Fleur O'Connor</w:t>
      </w:r>
    </w:p>
    <w:p w14:paraId="4ADDD314" w14:textId="2AFB17C5" w:rsidR="001357A1" w:rsidRDefault="720BE70B" w:rsidP="0055334E">
      <w:pPr>
        <w:pStyle w:val="ListParagraph"/>
        <w:numPr>
          <w:ilvl w:val="0"/>
          <w:numId w:val="44"/>
        </w:numPr>
        <w:ind w:left="426"/>
      </w:pPr>
      <w:r>
        <w:t>Robert Evans</w:t>
      </w:r>
    </w:p>
    <w:p w14:paraId="5299F76B" w14:textId="23384FD7" w:rsidR="001357A1" w:rsidRPr="0055334E" w:rsidRDefault="720BE70B" w:rsidP="0055334E">
      <w:pPr>
        <w:pStyle w:val="ListParagraph"/>
        <w:numPr>
          <w:ilvl w:val="0"/>
          <w:numId w:val="44"/>
        </w:numPr>
        <w:ind w:left="426"/>
      </w:pPr>
      <w:r>
        <w:t>Tracy Ward</w:t>
      </w:r>
    </w:p>
    <w:p w14:paraId="5D945BC4" w14:textId="3B8F8735" w:rsidR="00E4034F" w:rsidRDefault="00E4034F" w:rsidP="00E4034F">
      <w:pPr>
        <w:ind w:left="66"/>
      </w:pPr>
      <w:r>
        <w:rPr>
          <w:b/>
          <w:bCs/>
        </w:rPr>
        <w:t>Queensland</w:t>
      </w:r>
    </w:p>
    <w:p w14:paraId="5D832FA0" w14:textId="12569725" w:rsidR="00E4034F" w:rsidRDefault="6F31C36E" w:rsidP="0055334E">
      <w:pPr>
        <w:pStyle w:val="ListParagraph"/>
        <w:numPr>
          <w:ilvl w:val="0"/>
          <w:numId w:val="44"/>
        </w:numPr>
        <w:ind w:left="426"/>
      </w:pPr>
      <w:r>
        <w:t>Brydie Edwards</w:t>
      </w:r>
    </w:p>
    <w:p w14:paraId="5583167A" w14:textId="4F6B78F2" w:rsidR="00E4034F" w:rsidRDefault="6F31C36E" w:rsidP="0055334E">
      <w:pPr>
        <w:pStyle w:val="ListParagraph"/>
        <w:numPr>
          <w:ilvl w:val="0"/>
          <w:numId w:val="44"/>
        </w:numPr>
        <w:ind w:left="426"/>
      </w:pPr>
      <w:r>
        <w:t>John Rolfe</w:t>
      </w:r>
    </w:p>
    <w:p w14:paraId="0FC3556E" w14:textId="25325F6F" w:rsidR="00E4034F" w:rsidRDefault="6F31C36E" w:rsidP="0055334E">
      <w:pPr>
        <w:pStyle w:val="ListParagraph"/>
        <w:numPr>
          <w:ilvl w:val="0"/>
          <w:numId w:val="44"/>
        </w:numPr>
        <w:ind w:left="426"/>
      </w:pPr>
      <w:r>
        <w:t>Matthew Chesnais</w:t>
      </w:r>
    </w:p>
    <w:p w14:paraId="039533EF" w14:textId="1FF88642" w:rsidR="00E4034F" w:rsidRDefault="6F31C36E" w:rsidP="0055334E">
      <w:pPr>
        <w:pStyle w:val="ListParagraph"/>
        <w:numPr>
          <w:ilvl w:val="0"/>
          <w:numId w:val="44"/>
        </w:numPr>
        <w:ind w:left="426"/>
      </w:pPr>
      <w:r>
        <w:t>Nicole Mandalios</w:t>
      </w:r>
    </w:p>
    <w:p w14:paraId="31267165" w14:textId="1F785FD7" w:rsidR="00E4034F" w:rsidRDefault="6F31C36E" w:rsidP="0055334E">
      <w:pPr>
        <w:pStyle w:val="ListParagraph"/>
        <w:numPr>
          <w:ilvl w:val="0"/>
          <w:numId w:val="44"/>
        </w:numPr>
        <w:ind w:left="426"/>
      </w:pPr>
      <w:r>
        <w:t>Peter Aitken</w:t>
      </w:r>
    </w:p>
    <w:p w14:paraId="01405B51" w14:textId="73C22C84" w:rsidR="00E4034F" w:rsidRDefault="6F31C36E" w:rsidP="0055334E">
      <w:pPr>
        <w:pStyle w:val="ListParagraph"/>
        <w:numPr>
          <w:ilvl w:val="0"/>
          <w:numId w:val="44"/>
        </w:numPr>
        <w:ind w:left="426"/>
      </w:pPr>
      <w:r>
        <w:t>Rebecca Morello</w:t>
      </w:r>
    </w:p>
    <w:p w14:paraId="5A1DA1F8" w14:textId="4E35CDAE" w:rsidR="00E4034F" w:rsidRDefault="6F31C36E" w:rsidP="00E4034F">
      <w:pPr>
        <w:ind w:left="66"/>
        <w:rPr>
          <w:b/>
          <w:bCs/>
        </w:rPr>
      </w:pPr>
      <w:r w:rsidRPr="674B62DA">
        <w:rPr>
          <w:b/>
          <w:bCs/>
        </w:rPr>
        <w:t>South Australia</w:t>
      </w:r>
    </w:p>
    <w:p w14:paraId="7C2A8B87" w14:textId="617BEB52" w:rsidR="001357A1" w:rsidRDefault="720BE70B" w:rsidP="0055334E">
      <w:pPr>
        <w:pStyle w:val="ListParagraph"/>
        <w:numPr>
          <w:ilvl w:val="0"/>
          <w:numId w:val="44"/>
        </w:numPr>
        <w:ind w:left="426"/>
      </w:pPr>
      <w:r>
        <w:t>Chad Khoury</w:t>
      </w:r>
    </w:p>
    <w:p w14:paraId="3E883440" w14:textId="6D55F2C9" w:rsidR="001357A1" w:rsidRDefault="720BE70B" w:rsidP="0055334E">
      <w:pPr>
        <w:pStyle w:val="ListParagraph"/>
        <w:numPr>
          <w:ilvl w:val="0"/>
          <w:numId w:val="44"/>
        </w:numPr>
        <w:ind w:left="426"/>
      </w:pPr>
      <w:r>
        <w:t>Chris Beattie</w:t>
      </w:r>
    </w:p>
    <w:p w14:paraId="27B3EB1B" w14:textId="425E89B6" w:rsidR="001357A1" w:rsidRDefault="720BE70B" w:rsidP="0055334E">
      <w:pPr>
        <w:pStyle w:val="ListParagraph"/>
        <w:numPr>
          <w:ilvl w:val="0"/>
          <w:numId w:val="44"/>
        </w:numPr>
        <w:ind w:left="426"/>
      </w:pPr>
      <w:r>
        <w:t>Helen Psarras</w:t>
      </w:r>
    </w:p>
    <w:p w14:paraId="2B4D2A60" w14:textId="54080380" w:rsidR="001357A1" w:rsidRDefault="720BE70B" w:rsidP="0055334E">
      <w:pPr>
        <w:pStyle w:val="ListParagraph"/>
        <w:numPr>
          <w:ilvl w:val="0"/>
          <w:numId w:val="44"/>
        </w:numPr>
        <w:ind w:left="426"/>
      </w:pPr>
      <w:r>
        <w:t>Liz Connell</w:t>
      </w:r>
    </w:p>
    <w:p w14:paraId="78459256" w14:textId="7F3D0D9F" w:rsidR="001357A1" w:rsidRDefault="720BE70B" w:rsidP="0055334E">
      <w:pPr>
        <w:pStyle w:val="ListParagraph"/>
        <w:numPr>
          <w:ilvl w:val="0"/>
          <w:numId w:val="44"/>
        </w:numPr>
        <w:ind w:left="426"/>
      </w:pPr>
      <w:r>
        <w:t>Monica Nitschke</w:t>
      </w:r>
    </w:p>
    <w:p w14:paraId="1F8B4C01" w14:textId="11247CB8" w:rsidR="001357A1" w:rsidRDefault="720BE70B" w:rsidP="0055334E">
      <w:pPr>
        <w:pStyle w:val="ListParagraph"/>
        <w:numPr>
          <w:ilvl w:val="0"/>
          <w:numId w:val="44"/>
        </w:numPr>
        <w:ind w:left="426"/>
      </w:pPr>
      <w:r>
        <w:t>Paul McGowen</w:t>
      </w:r>
    </w:p>
    <w:p w14:paraId="6DFA529B" w14:textId="424222B4" w:rsidR="001357A1" w:rsidRPr="0055334E" w:rsidRDefault="720BE70B" w:rsidP="0055334E">
      <w:pPr>
        <w:pStyle w:val="ListParagraph"/>
        <w:numPr>
          <w:ilvl w:val="0"/>
          <w:numId w:val="44"/>
        </w:numPr>
        <w:ind w:left="426"/>
      </w:pPr>
      <w:r>
        <w:t>Vicki Sellick</w:t>
      </w:r>
    </w:p>
    <w:p w14:paraId="6F704342" w14:textId="6B83BE8C" w:rsidR="001357A1" w:rsidRDefault="720BE70B" w:rsidP="00E4034F">
      <w:pPr>
        <w:ind w:left="66"/>
        <w:rPr>
          <w:b/>
          <w:bCs/>
        </w:rPr>
      </w:pPr>
      <w:r w:rsidRPr="674B62DA">
        <w:rPr>
          <w:b/>
          <w:bCs/>
        </w:rPr>
        <w:t>Tasmania</w:t>
      </w:r>
    </w:p>
    <w:p w14:paraId="54875FC9" w14:textId="19E690D7" w:rsidR="001357A1" w:rsidRDefault="720BE70B" w:rsidP="0055334E">
      <w:pPr>
        <w:pStyle w:val="ListParagraph"/>
        <w:numPr>
          <w:ilvl w:val="0"/>
          <w:numId w:val="44"/>
        </w:numPr>
        <w:ind w:left="426"/>
      </w:pPr>
      <w:r>
        <w:t>Fay Johnston</w:t>
      </w:r>
    </w:p>
    <w:p w14:paraId="107DCC16" w14:textId="4F91AF6B" w:rsidR="001357A1" w:rsidRPr="0055334E" w:rsidRDefault="720BE70B" w:rsidP="0055334E">
      <w:pPr>
        <w:pStyle w:val="ListParagraph"/>
        <w:numPr>
          <w:ilvl w:val="0"/>
          <w:numId w:val="44"/>
        </w:numPr>
        <w:ind w:left="426"/>
      </w:pPr>
      <w:r>
        <w:t>Sharon Campbell</w:t>
      </w:r>
    </w:p>
    <w:p w14:paraId="67404CF3" w14:textId="4F4399CE" w:rsidR="00E4034F" w:rsidRDefault="6F31C36E" w:rsidP="00E4034F">
      <w:pPr>
        <w:ind w:left="66"/>
        <w:rPr>
          <w:b/>
          <w:bCs/>
        </w:rPr>
      </w:pPr>
      <w:r w:rsidRPr="674B62DA">
        <w:rPr>
          <w:b/>
          <w:bCs/>
        </w:rPr>
        <w:t>Victoria</w:t>
      </w:r>
    </w:p>
    <w:p w14:paraId="60472925" w14:textId="46BBCD7A" w:rsidR="00E4034F" w:rsidRPr="00E4034F" w:rsidRDefault="6F31C36E" w:rsidP="00E4034F">
      <w:pPr>
        <w:pStyle w:val="ListParagraph"/>
        <w:numPr>
          <w:ilvl w:val="0"/>
          <w:numId w:val="44"/>
        </w:numPr>
        <w:ind w:left="426"/>
      </w:pPr>
      <w:r>
        <w:t>Braedan Hogan</w:t>
      </w:r>
    </w:p>
    <w:p w14:paraId="197C6357" w14:textId="664ECFBC" w:rsidR="00E4034F" w:rsidRPr="0055334E" w:rsidRDefault="6F31C36E" w:rsidP="00E4034F">
      <w:pPr>
        <w:pStyle w:val="ListParagraph"/>
        <w:numPr>
          <w:ilvl w:val="0"/>
          <w:numId w:val="44"/>
        </w:numPr>
        <w:ind w:left="426"/>
      </w:pPr>
      <w:r>
        <w:t>Christy Boucher</w:t>
      </w:r>
    </w:p>
    <w:p w14:paraId="5BF33CB2" w14:textId="258A8268" w:rsidR="00E4034F" w:rsidRPr="0055334E" w:rsidRDefault="6F31C36E" w:rsidP="00E4034F">
      <w:pPr>
        <w:pStyle w:val="ListParagraph"/>
        <w:numPr>
          <w:ilvl w:val="0"/>
          <w:numId w:val="44"/>
        </w:numPr>
        <w:ind w:left="426"/>
      </w:pPr>
      <w:r>
        <w:t>Jenny Vanriel</w:t>
      </w:r>
    </w:p>
    <w:p w14:paraId="7B4E22B3" w14:textId="75FE05E3" w:rsidR="00E4034F" w:rsidRPr="0055334E" w:rsidRDefault="6F31C36E" w:rsidP="00E4034F">
      <w:pPr>
        <w:pStyle w:val="ListParagraph"/>
        <w:numPr>
          <w:ilvl w:val="0"/>
          <w:numId w:val="44"/>
        </w:numPr>
        <w:ind w:left="426"/>
      </w:pPr>
      <w:r>
        <w:t>Marianne B</w:t>
      </w:r>
      <w:r w:rsidR="0BFB7AA0">
        <w:t>r</w:t>
      </w:r>
      <w:r>
        <w:t>ereton</w:t>
      </w:r>
    </w:p>
    <w:p w14:paraId="5945E187" w14:textId="3BC4009C" w:rsidR="00E4034F" w:rsidRPr="0055334E" w:rsidRDefault="6F31C36E" w:rsidP="00E4034F">
      <w:pPr>
        <w:pStyle w:val="ListParagraph"/>
        <w:numPr>
          <w:ilvl w:val="0"/>
          <w:numId w:val="44"/>
        </w:numPr>
        <w:ind w:left="426"/>
      </w:pPr>
      <w:r>
        <w:t>Susan Fayers</w:t>
      </w:r>
    </w:p>
    <w:p w14:paraId="54EDF5D0" w14:textId="71C227F7" w:rsidR="00E4034F" w:rsidRDefault="6F31C36E" w:rsidP="00E4034F">
      <w:pPr>
        <w:rPr>
          <w:b/>
          <w:bCs/>
        </w:rPr>
      </w:pPr>
      <w:r w:rsidRPr="674B62DA">
        <w:rPr>
          <w:b/>
          <w:bCs/>
        </w:rPr>
        <w:t>Western Australia</w:t>
      </w:r>
    </w:p>
    <w:p w14:paraId="6EE73FF4" w14:textId="17F815BC" w:rsidR="001357A1" w:rsidRDefault="720BE70B" w:rsidP="0055334E">
      <w:pPr>
        <w:pStyle w:val="ListParagraph"/>
        <w:numPr>
          <w:ilvl w:val="0"/>
          <w:numId w:val="44"/>
        </w:numPr>
        <w:ind w:left="426"/>
      </w:pPr>
      <w:r>
        <w:t>Jonathan Clayson</w:t>
      </w:r>
    </w:p>
    <w:p w14:paraId="0F82C523" w14:textId="710A7681" w:rsidR="001357A1" w:rsidRPr="001357A1" w:rsidRDefault="720BE70B" w:rsidP="0055334E">
      <w:pPr>
        <w:pStyle w:val="ListParagraph"/>
        <w:numPr>
          <w:ilvl w:val="0"/>
          <w:numId w:val="44"/>
        </w:numPr>
        <w:ind w:left="426"/>
      </w:pPr>
      <w:r>
        <w:t>Leigh Clifton</w:t>
      </w:r>
    </w:p>
    <w:p w14:paraId="6FCB5175" w14:textId="43C274E6" w:rsidR="0015051D" w:rsidRDefault="001357A1" w:rsidP="0015051D">
      <w:r>
        <w:rPr>
          <w:b/>
          <w:bCs/>
        </w:rPr>
        <w:t>Bureau of Meteorology</w:t>
      </w:r>
    </w:p>
    <w:p w14:paraId="49207A7B" w14:textId="38A13651" w:rsidR="001357A1" w:rsidRDefault="720BE70B" w:rsidP="001357A1">
      <w:pPr>
        <w:pStyle w:val="ListParagraph"/>
        <w:numPr>
          <w:ilvl w:val="0"/>
          <w:numId w:val="47"/>
        </w:numPr>
        <w:ind w:left="426"/>
      </w:pPr>
      <w:r>
        <w:t>Alasdair Scott</w:t>
      </w:r>
    </w:p>
    <w:p w14:paraId="2EAB9D88" w14:textId="74B46F58" w:rsidR="001357A1" w:rsidRDefault="720BE70B" w:rsidP="001357A1">
      <w:pPr>
        <w:pStyle w:val="ListParagraph"/>
        <w:numPr>
          <w:ilvl w:val="0"/>
          <w:numId w:val="47"/>
        </w:numPr>
        <w:ind w:left="426"/>
      </w:pPr>
      <w:r>
        <w:t>Bradley Santos</w:t>
      </w:r>
    </w:p>
    <w:p w14:paraId="2FB1FF67" w14:textId="53F356A8" w:rsidR="001357A1" w:rsidRDefault="720BE70B" w:rsidP="001357A1">
      <w:pPr>
        <w:pStyle w:val="ListParagraph"/>
        <w:numPr>
          <w:ilvl w:val="0"/>
          <w:numId w:val="47"/>
        </w:numPr>
        <w:ind w:left="426"/>
      </w:pPr>
      <w:r>
        <w:t>Carla Mooney</w:t>
      </w:r>
    </w:p>
    <w:p w14:paraId="2332141D" w14:textId="33326078" w:rsidR="001357A1" w:rsidRDefault="720BE70B" w:rsidP="001357A1">
      <w:pPr>
        <w:pStyle w:val="ListParagraph"/>
        <w:numPr>
          <w:ilvl w:val="0"/>
          <w:numId w:val="47"/>
        </w:numPr>
        <w:ind w:left="426"/>
      </w:pPr>
      <w:r>
        <w:t>Evan Morgan</w:t>
      </w:r>
    </w:p>
    <w:p w14:paraId="0F159CD1" w14:textId="0436646E" w:rsidR="001357A1" w:rsidRDefault="720BE70B" w:rsidP="001357A1">
      <w:pPr>
        <w:pStyle w:val="ListParagraph"/>
        <w:numPr>
          <w:ilvl w:val="0"/>
          <w:numId w:val="47"/>
        </w:numPr>
        <w:ind w:left="426"/>
      </w:pPr>
      <w:r>
        <w:t>John Nairn</w:t>
      </w:r>
    </w:p>
    <w:p w14:paraId="1A0F730B" w14:textId="7FB2CD06" w:rsidR="001357A1" w:rsidRDefault="720BE70B" w:rsidP="001357A1">
      <w:pPr>
        <w:pStyle w:val="ListParagraph"/>
        <w:numPr>
          <w:ilvl w:val="0"/>
          <w:numId w:val="47"/>
        </w:numPr>
        <w:ind w:left="426"/>
      </w:pPr>
      <w:r>
        <w:t>Matt Beaty</w:t>
      </w:r>
    </w:p>
    <w:p w14:paraId="532E0684" w14:textId="26B4FC30" w:rsidR="001357A1" w:rsidRDefault="720BE70B" w:rsidP="001357A1">
      <w:pPr>
        <w:pStyle w:val="ListParagraph"/>
        <w:numPr>
          <w:ilvl w:val="0"/>
          <w:numId w:val="47"/>
        </w:numPr>
        <w:ind w:left="426"/>
      </w:pPr>
      <w:r>
        <w:t>Megan O'Donnell</w:t>
      </w:r>
    </w:p>
    <w:p w14:paraId="4C51BD78" w14:textId="704721E9" w:rsidR="001357A1" w:rsidRDefault="720BE70B" w:rsidP="001357A1">
      <w:pPr>
        <w:pStyle w:val="ListParagraph"/>
        <w:numPr>
          <w:ilvl w:val="0"/>
          <w:numId w:val="47"/>
        </w:numPr>
        <w:ind w:left="426"/>
      </w:pPr>
      <w:r>
        <w:t>Monica Long</w:t>
      </w:r>
    </w:p>
    <w:p w14:paraId="71B62048" w14:textId="0F270903" w:rsidR="001357A1" w:rsidRDefault="720BE70B" w:rsidP="001357A1">
      <w:pPr>
        <w:pStyle w:val="ListParagraph"/>
        <w:numPr>
          <w:ilvl w:val="0"/>
          <w:numId w:val="47"/>
        </w:numPr>
        <w:ind w:left="426"/>
      </w:pPr>
      <w:r>
        <w:t>Philip Douglas</w:t>
      </w:r>
    </w:p>
    <w:p w14:paraId="2A760336" w14:textId="6CDA4BEB" w:rsidR="001357A1" w:rsidRPr="001357A1" w:rsidRDefault="720BE70B" w:rsidP="0055334E">
      <w:pPr>
        <w:pStyle w:val="ListParagraph"/>
        <w:numPr>
          <w:ilvl w:val="0"/>
          <w:numId w:val="47"/>
        </w:numPr>
        <w:ind w:left="426"/>
      </w:pPr>
      <w:r>
        <w:t>Shoni Maguire</w:t>
      </w:r>
    </w:p>
    <w:p w14:paraId="02462407" w14:textId="77777777" w:rsidR="0015051D" w:rsidRPr="0015051D" w:rsidRDefault="0015051D" w:rsidP="0055334E"/>
    <w:p w14:paraId="43CC9B96" w14:textId="77777777" w:rsidR="0015051D" w:rsidRDefault="0015051D" w:rsidP="00FA7F41">
      <w:pPr>
        <w:pStyle w:val="TOCHeading"/>
        <w:sectPr w:rsidR="0015051D" w:rsidSect="0055334E">
          <w:type w:val="continuous"/>
          <w:pgSz w:w="11906" w:h="16838"/>
          <w:pgMar w:top="2041" w:right="1134" w:bottom="1418" w:left="1134" w:header="567" w:footer="709" w:gutter="0"/>
          <w:cols w:num="2" w:space="708"/>
          <w:titlePg/>
          <w:docGrid w:linePitch="360"/>
        </w:sectPr>
      </w:pPr>
    </w:p>
    <w:p w14:paraId="122F0E72" w14:textId="3FD1F606" w:rsidR="00FA7F41" w:rsidRDefault="6823AF6B" w:rsidP="00FA7F41">
      <w:pPr>
        <w:pStyle w:val="TOCHeading"/>
      </w:pPr>
      <w:r>
        <w:lastRenderedPageBreak/>
        <w:t xml:space="preserve">Table of </w:t>
      </w:r>
      <w:r w:rsidR="3CB68665">
        <w:t>contents</w:t>
      </w:r>
    </w:p>
    <w:p w14:paraId="0BED60DA" w14:textId="6D77A2FB" w:rsidR="00D52581" w:rsidRDefault="00E21270" w:rsidP="674B62DA">
      <w:pPr>
        <w:pStyle w:val="TOC2"/>
        <w:rPr>
          <w:rFonts w:eastAsiaTheme="minorEastAsia" w:cstheme="minorBidi"/>
          <w:noProof/>
          <w:color w:val="auto"/>
          <w:kern w:val="2"/>
          <w:sz w:val="22"/>
          <w:szCs w:val="22"/>
          <w:lang w:eastAsia="en-AU"/>
          <w14:ligatures w14:val="standardContextual"/>
        </w:rPr>
      </w:pPr>
      <w:r w:rsidRPr="674B62DA">
        <w:rPr>
          <w:sz w:val="36"/>
          <w:szCs w:val="36"/>
        </w:rPr>
        <w:fldChar w:fldCharType="begin"/>
      </w:r>
      <w:r>
        <w:rPr>
          <w:sz w:val="36"/>
          <w:szCs w:val="36"/>
        </w:rPr>
        <w:instrText xml:space="preserve"> TOC \o "1-2" \h \z \u </w:instrText>
      </w:r>
      <w:r w:rsidRPr="674B62DA">
        <w:rPr>
          <w:sz w:val="36"/>
          <w:szCs w:val="36"/>
        </w:rPr>
        <w:fldChar w:fldCharType="separate"/>
      </w:r>
      <w:hyperlink w:anchor="_Toc149907527" w:history="1">
        <w:r w:rsidR="278260B4" w:rsidRPr="674B62DA">
          <w:rPr>
            <w:rStyle w:val="Hyperlink"/>
            <w:noProof/>
          </w:rPr>
          <w:t>1. Background</w:t>
        </w:r>
        <w:r w:rsidR="00D52581">
          <w:rPr>
            <w:noProof/>
            <w:webHidden/>
          </w:rPr>
          <w:tab/>
        </w:r>
        <w:r w:rsidR="00D52581">
          <w:rPr>
            <w:noProof/>
            <w:webHidden/>
          </w:rPr>
          <w:fldChar w:fldCharType="begin"/>
        </w:r>
        <w:r w:rsidR="00D52581">
          <w:rPr>
            <w:noProof/>
            <w:webHidden/>
          </w:rPr>
          <w:instrText xml:space="preserve"> PAGEREF _Toc149907527 \h </w:instrText>
        </w:r>
        <w:r w:rsidR="00D52581">
          <w:rPr>
            <w:noProof/>
            <w:webHidden/>
          </w:rPr>
        </w:r>
        <w:r w:rsidR="00D52581">
          <w:rPr>
            <w:noProof/>
            <w:webHidden/>
          </w:rPr>
          <w:fldChar w:fldCharType="separate"/>
        </w:r>
        <w:r w:rsidR="278260B4" w:rsidRPr="674B62DA">
          <w:rPr>
            <w:noProof/>
            <w:webHidden/>
          </w:rPr>
          <w:t>7</w:t>
        </w:r>
        <w:r w:rsidR="00D52581">
          <w:rPr>
            <w:noProof/>
            <w:webHidden/>
          </w:rPr>
          <w:fldChar w:fldCharType="end"/>
        </w:r>
      </w:hyperlink>
    </w:p>
    <w:p w14:paraId="2CA93A07" w14:textId="12E07F60"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28" w:history="1">
        <w:r w:rsidRPr="674B62DA">
          <w:rPr>
            <w:rStyle w:val="Hyperlink"/>
            <w:noProof/>
          </w:rPr>
          <w:t>1.1. Purpose</w:t>
        </w:r>
        <w:r w:rsidR="00D52581">
          <w:rPr>
            <w:noProof/>
            <w:webHidden/>
          </w:rPr>
          <w:tab/>
        </w:r>
        <w:r w:rsidR="00D52581">
          <w:rPr>
            <w:noProof/>
            <w:webHidden/>
          </w:rPr>
          <w:fldChar w:fldCharType="begin"/>
        </w:r>
        <w:r w:rsidR="00D52581">
          <w:rPr>
            <w:noProof/>
            <w:webHidden/>
          </w:rPr>
          <w:instrText xml:space="preserve"> PAGEREF _Toc149907528 \h </w:instrText>
        </w:r>
        <w:r w:rsidR="00D52581">
          <w:rPr>
            <w:noProof/>
            <w:webHidden/>
          </w:rPr>
        </w:r>
        <w:r w:rsidR="00D52581">
          <w:rPr>
            <w:noProof/>
            <w:webHidden/>
          </w:rPr>
          <w:fldChar w:fldCharType="separate"/>
        </w:r>
        <w:r w:rsidRPr="674B62DA">
          <w:rPr>
            <w:noProof/>
            <w:webHidden/>
          </w:rPr>
          <w:t>7</w:t>
        </w:r>
        <w:r w:rsidR="00D52581">
          <w:rPr>
            <w:noProof/>
            <w:webHidden/>
          </w:rPr>
          <w:fldChar w:fldCharType="end"/>
        </w:r>
      </w:hyperlink>
    </w:p>
    <w:p w14:paraId="7323E62C" w14:textId="55C1BC0A"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29" w:history="1">
        <w:r w:rsidRPr="674B62DA">
          <w:rPr>
            <w:rStyle w:val="Hyperlink"/>
            <w:noProof/>
          </w:rPr>
          <w:t>1.2. Scope</w:t>
        </w:r>
        <w:r w:rsidR="00D52581">
          <w:rPr>
            <w:noProof/>
            <w:webHidden/>
          </w:rPr>
          <w:tab/>
        </w:r>
        <w:r w:rsidR="00D52581">
          <w:rPr>
            <w:noProof/>
            <w:webHidden/>
          </w:rPr>
          <w:fldChar w:fldCharType="begin"/>
        </w:r>
        <w:r w:rsidR="00D52581">
          <w:rPr>
            <w:noProof/>
            <w:webHidden/>
          </w:rPr>
          <w:instrText xml:space="preserve"> PAGEREF _Toc149907529 \h </w:instrText>
        </w:r>
        <w:r w:rsidR="00D52581">
          <w:rPr>
            <w:noProof/>
            <w:webHidden/>
          </w:rPr>
        </w:r>
        <w:r w:rsidR="00D52581">
          <w:rPr>
            <w:noProof/>
            <w:webHidden/>
          </w:rPr>
          <w:fldChar w:fldCharType="separate"/>
        </w:r>
        <w:r w:rsidRPr="674B62DA">
          <w:rPr>
            <w:noProof/>
            <w:webHidden/>
          </w:rPr>
          <w:t>7</w:t>
        </w:r>
        <w:r w:rsidR="00D52581">
          <w:rPr>
            <w:noProof/>
            <w:webHidden/>
          </w:rPr>
          <w:fldChar w:fldCharType="end"/>
        </w:r>
      </w:hyperlink>
    </w:p>
    <w:p w14:paraId="434218B3" w14:textId="457B3C58"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30" w:history="1">
        <w:r w:rsidRPr="674B62DA">
          <w:rPr>
            <w:rStyle w:val="Hyperlink"/>
            <w:noProof/>
          </w:rPr>
          <w:t>1.3. Approach</w:t>
        </w:r>
        <w:r w:rsidR="00D52581">
          <w:rPr>
            <w:noProof/>
            <w:webHidden/>
          </w:rPr>
          <w:tab/>
        </w:r>
        <w:r w:rsidR="00D52581">
          <w:rPr>
            <w:noProof/>
            <w:webHidden/>
          </w:rPr>
          <w:fldChar w:fldCharType="begin"/>
        </w:r>
        <w:r w:rsidR="00D52581">
          <w:rPr>
            <w:noProof/>
            <w:webHidden/>
          </w:rPr>
          <w:instrText xml:space="preserve"> PAGEREF _Toc149907530 \h </w:instrText>
        </w:r>
        <w:r w:rsidR="00D52581">
          <w:rPr>
            <w:noProof/>
            <w:webHidden/>
          </w:rPr>
        </w:r>
        <w:r w:rsidR="00D52581">
          <w:rPr>
            <w:noProof/>
            <w:webHidden/>
          </w:rPr>
          <w:fldChar w:fldCharType="separate"/>
        </w:r>
        <w:r w:rsidRPr="674B62DA">
          <w:rPr>
            <w:noProof/>
            <w:webHidden/>
          </w:rPr>
          <w:t>7</w:t>
        </w:r>
        <w:r w:rsidR="00D52581">
          <w:rPr>
            <w:noProof/>
            <w:webHidden/>
          </w:rPr>
          <w:fldChar w:fldCharType="end"/>
        </w:r>
      </w:hyperlink>
    </w:p>
    <w:p w14:paraId="59BA6876" w14:textId="5B15F29E"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31" w:history="1">
        <w:r w:rsidRPr="674B62DA">
          <w:rPr>
            <w:rStyle w:val="Hyperlink"/>
            <w:noProof/>
          </w:rPr>
          <w:t>2. Heatwave in Australia</w:t>
        </w:r>
        <w:r w:rsidR="00D52581">
          <w:rPr>
            <w:noProof/>
            <w:webHidden/>
          </w:rPr>
          <w:tab/>
        </w:r>
        <w:r w:rsidR="00D52581">
          <w:rPr>
            <w:noProof/>
            <w:webHidden/>
          </w:rPr>
          <w:fldChar w:fldCharType="begin"/>
        </w:r>
        <w:r w:rsidR="00D52581">
          <w:rPr>
            <w:noProof/>
            <w:webHidden/>
          </w:rPr>
          <w:instrText xml:space="preserve"> PAGEREF _Toc149907531 \h </w:instrText>
        </w:r>
        <w:r w:rsidR="00D52581">
          <w:rPr>
            <w:noProof/>
            <w:webHidden/>
          </w:rPr>
        </w:r>
        <w:r w:rsidR="00D52581">
          <w:rPr>
            <w:noProof/>
            <w:webHidden/>
          </w:rPr>
          <w:fldChar w:fldCharType="separate"/>
        </w:r>
        <w:r w:rsidRPr="674B62DA">
          <w:rPr>
            <w:noProof/>
            <w:webHidden/>
          </w:rPr>
          <w:t>8</w:t>
        </w:r>
        <w:r w:rsidR="00D52581">
          <w:rPr>
            <w:noProof/>
            <w:webHidden/>
          </w:rPr>
          <w:fldChar w:fldCharType="end"/>
        </w:r>
      </w:hyperlink>
    </w:p>
    <w:p w14:paraId="5F46641C" w14:textId="38C8A9E4"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32" w:history="1">
        <w:r w:rsidRPr="674B62DA">
          <w:rPr>
            <w:rStyle w:val="Hyperlink"/>
            <w:noProof/>
          </w:rPr>
          <w:t>2.1. Future projections</w:t>
        </w:r>
        <w:r w:rsidR="00D52581">
          <w:rPr>
            <w:noProof/>
            <w:webHidden/>
          </w:rPr>
          <w:tab/>
        </w:r>
        <w:r w:rsidR="00D52581">
          <w:rPr>
            <w:noProof/>
            <w:webHidden/>
          </w:rPr>
          <w:fldChar w:fldCharType="begin"/>
        </w:r>
        <w:r w:rsidR="00D52581">
          <w:rPr>
            <w:noProof/>
            <w:webHidden/>
          </w:rPr>
          <w:instrText xml:space="preserve"> PAGEREF _Toc149907532 \h </w:instrText>
        </w:r>
        <w:r w:rsidR="00D52581">
          <w:rPr>
            <w:noProof/>
            <w:webHidden/>
          </w:rPr>
        </w:r>
        <w:r w:rsidR="00D52581">
          <w:rPr>
            <w:noProof/>
            <w:webHidden/>
          </w:rPr>
          <w:fldChar w:fldCharType="separate"/>
        </w:r>
        <w:r w:rsidRPr="674B62DA">
          <w:rPr>
            <w:noProof/>
            <w:webHidden/>
          </w:rPr>
          <w:t>8</w:t>
        </w:r>
        <w:r w:rsidR="00D52581">
          <w:rPr>
            <w:noProof/>
            <w:webHidden/>
          </w:rPr>
          <w:fldChar w:fldCharType="end"/>
        </w:r>
      </w:hyperlink>
    </w:p>
    <w:p w14:paraId="2A7B7FEF" w14:textId="53CDF527"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33" w:history="1">
        <w:r w:rsidRPr="674B62DA">
          <w:rPr>
            <w:rStyle w:val="Hyperlink"/>
            <w:noProof/>
          </w:rPr>
          <w:t>2.2. Who is at greatest risk?</w:t>
        </w:r>
        <w:r w:rsidR="00D52581">
          <w:rPr>
            <w:noProof/>
            <w:webHidden/>
          </w:rPr>
          <w:tab/>
        </w:r>
        <w:r w:rsidR="00D52581">
          <w:rPr>
            <w:noProof/>
            <w:webHidden/>
          </w:rPr>
          <w:fldChar w:fldCharType="begin"/>
        </w:r>
        <w:r w:rsidR="00D52581">
          <w:rPr>
            <w:noProof/>
            <w:webHidden/>
          </w:rPr>
          <w:instrText xml:space="preserve"> PAGEREF _Toc149907533 \h </w:instrText>
        </w:r>
        <w:r w:rsidR="00D52581">
          <w:rPr>
            <w:noProof/>
            <w:webHidden/>
          </w:rPr>
        </w:r>
        <w:r w:rsidR="00D52581">
          <w:rPr>
            <w:noProof/>
            <w:webHidden/>
          </w:rPr>
          <w:fldChar w:fldCharType="separate"/>
        </w:r>
        <w:r w:rsidRPr="674B62DA">
          <w:rPr>
            <w:noProof/>
            <w:webHidden/>
          </w:rPr>
          <w:t>9</w:t>
        </w:r>
        <w:r w:rsidR="00D52581">
          <w:rPr>
            <w:noProof/>
            <w:webHidden/>
          </w:rPr>
          <w:fldChar w:fldCharType="end"/>
        </w:r>
      </w:hyperlink>
    </w:p>
    <w:p w14:paraId="5EE7ADAB" w14:textId="2D9C707C"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34" w:history="1">
        <w:r w:rsidRPr="674B62DA">
          <w:rPr>
            <w:rStyle w:val="Hyperlink"/>
            <w:noProof/>
          </w:rPr>
          <w:t>2.3. Public understanding of impact</w:t>
        </w:r>
        <w:r w:rsidR="00D52581">
          <w:rPr>
            <w:noProof/>
            <w:webHidden/>
          </w:rPr>
          <w:tab/>
        </w:r>
        <w:r w:rsidR="00D52581">
          <w:rPr>
            <w:noProof/>
            <w:webHidden/>
          </w:rPr>
          <w:fldChar w:fldCharType="begin"/>
        </w:r>
        <w:r w:rsidR="00D52581">
          <w:rPr>
            <w:noProof/>
            <w:webHidden/>
          </w:rPr>
          <w:instrText xml:space="preserve"> PAGEREF _Toc149907534 \h </w:instrText>
        </w:r>
        <w:r w:rsidR="00D52581">
          <w:rPr>
            <w:noProof/>
            <w:webHidden/>
          </w:rPr>
        </w:r>
        <w:r w:rsidR="00D52581">
          <w:rPr>
            <w:noProof/>
            <w:webHidden/>
          </w:rPr>
          <w:fldChar w:fldCharType="separate"/>
        </w:r>
        <w:r w:rsidRPr="674B62DA">
          <w:rPr>
            <w:noProof/>
            <w:webHidden/>
          </w:rPr>
          <w:t>10</w:t>
        </w:r>
        <w:r w:rsidR="00D52581">
          <w:rPr>
            <w:noProof/>
            <w:webHidden/>
          </w:rPr>
          <w:fldChar w:fldCharType="end"/>
        </w:r>
      </w:hyperlink>
    </w:p>
    <w:p w14:paraId="78FE5BA6" w14:textId="5AD00835"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35" w:history="1">
        <w:r w:rsidRPr="674B62DA">
          <w:rPr>
            <w:rStyle w:val="Hyperlink"/>
            <w:noProof/>
          </w:rPr>
          <w:t>3. Delivering Heatwave Warnings</w:t>
        </w:r>
        <w:r w:rsidR="00D52581">
          <w:rPr>
            <w:noProof/>
            <w:webHidden/>
          </w:rPr>
          <w:tab/>
        </w:r>
        <w:r w:rsidR="00D52581">
          <w:rPr>
            <w:noProof/>
            <w:webHidden/>
          </w:rPr>
          <w:fldChar w:fldCharType="begin"/>
        </w:r>
        <w:r w:rsidR="00D52581">
          <w:rPr>
            <w:noProof/>
            <w:webHidden/>
          </w:rPr>
          <w:instrText xml:space="preserve"> PAGEREF _Toc149907535 \h </w:instrText>
        </w:r>
        <w:r w:rsidR="00D52581">
          <w:rPr>
            <w:noProof/>
            <w:webHidden/>
          </w:rPr>
        </w:r>
        <w:r w:rsidR="00D52581">
          <w:rPr>
            <w:noProof/>
            <w:webHidden/>
          </w:rPr>
          <w:fldChar w:fldCharType="separate"/>
        </w:r>
        <w:r w:rsidRPr="674B62DA">
          <w:rPr>
            <w:noProof/>
            <w:webHidden/>
          </w:rPr>
          <w:t>12</w:t>
        </w:r>
        <w:r w:rsidR="00D52581">
          <w:rPr>
            <w:noProof/>
            <w:webHidden/>
          </w:rPr>
          <w:fldChar w:fldCharType="end"/>
        </w:r>
      </w:hyperlink>
    </w:p>
    <w:p w14:paraId="510EEA09" w14:textId="53ED8A60"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36" w:history="1">
        <w:r w:rsidRPr="674B62DA">
          <w:rPr>
            <w:rStyle w:val="Hyperlink"/>
            <w:noProof/>
          </w:rPr>
          <w:t>3.1. Standards and Definitions</w:t>
        </w:r>
        <w:r w:rsidR="00D52581">
          <w:rPr>
            <w:noProof/>
            <w:webHidden/>
          </w:rPr>
          <w:tab/>
        </w:r>
        <w:r w:rsidR="00D52581">
          <w:rPr>
            <w:noProof/>
            <w:webHidden/>
          </w:rPr>
          <w:fldChar w:fldCharType="begin"/>
        </w:r>
        <w:r w:rsidR="00D52581">
          <w:rPr>
            <w:noProof/>
            <w:webHidden/>
          </w:rPr>
          <w:instrText xml:space="preserve"> PAGEREF _Toc149907536 \h </w:instrText>
        </w:r>
        <w:r w:rsidR="00D52581">
          <w:rPr>
            <w:noProof/>
            <w:webHidden/>
          </w:rPr>
        </w:r>
        <w:r w:rsidR="00D52581">
          <w:rPr>
            <w:noProof/>
            <w:webHidden/>
          </w:rPr>
          <w:fldChar w:fldCharType="separate"/>
        </w:r>
        <w:r w:rsidRPr="674B62DA">
          <w:rPr>
            <w:noProof/>
            <w:webHidden/>
          </w:rPr>
          <w:t>12</w:t>
        </w:r>
        <w:r w:rsidR="00D52581">
          <w:rPr>
            <w:noProof/>
            <w:webHidden/>
          </w:rPr>
          <w:fldChar w:fldCharType="end"/>
        </w:r>
      </w:hyperlink>
    </w:p>
    <w:p w14:paraId="4435497D" w14:textId="43F58DAC"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37" w:history="1">
        <w:r w:rsidRPr="674B62DA">
          <w:rPr>
            <w:rStyle w:val="Hyperlink"/>
            <w:noProof/>
          </w:rPr>
          <w:t>3.1.1. Framework review</w:t>
        </w:r>
        <w:r w:rsidR="00D52581">
          <w:rPr>
            <w:noProof/>
            <w:webHidden/>
          </w:rPr>
          <w:tab/>
        </w:r>
        <w:r w:rsidR="00D52581">
          <w:rPr>
            <w:noProof/>
            <w:webHidden/>
          </w:rPr>
          <w:fldChar w:fldCharType="begin"/>
        </w:r>
        <w:r w:rsidR="00D52581">
          <w:rPr>
            <w:noProof/>
            <w:webHidden/>
          </w:rPr>
          <w:instrText xml:space="preserve"> PAGEREF _Toc149907537 \h </w:instrText>
        </w:r>
        <w:r w:rsidR="00D52581">
          <w:rPr>
            <w:noProof/>
            <w:webHidden/>
          </w:rPr>
        </w:r>
        <w:r w:rsidR="00D52581">
          <w:rPr>
            <w:noProof/>
            <w:webHidden/>
          </w:rPr>
          <w:fldChar w:fldCharType="separate"/>
        </w:r>
        <w:r w:rsidRPr="674B62DA">
          <w:rPr>
            <w:noProof/>
            <w:webHidden/>
          </w:rPr>
          <w:t>12</w:t>
        </w:r>
        <w:r w:rsidR="00D52581">
          <w:rPr>
            <w:noProof/>
            <w:webHidden/>
          </w:rPr>
          <w:fldChar w:fldCharType="end"/>
        </w:r>
      </w:hyperlink>
    </w:p>
    <w:p w14:paraId="4B5121AB" w14:textId="0099398B"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38" w:history="1">
        <w:r w:rsidRPr="674B62DA">
          <w:rPr>
            <w:rStyle w:val="Hyperlink"/>
            <w:noProof/>
          </w:rPr>
          <w:t>3.1.2. Defining heatwaves</w:t>
        </w:r>
        <w:r w:rsidR="00D52581">
          <w:rPr>
            <w:noProof/>
            <w:webHidden/>
          </w:rPr>
          <w:tab/>
        </w:r>
        <w:r w:rsidR="00D52581">
          <w:rPr>
            <w:noProof/>
            <w:webHidden/>
          </w:rPr>
          <w:fldChar w:fldCharType="begin"/>
        </w:r>
        <w:r w:rsidR="00D52581">
          <w:rPr>
            <w:noProof/>
            <w:webHidden/>
          </w:rPr>
          <w:instrText xml:space="preserve"> PAGEREF _Toc149907538 \h </w:instrText>
        </w:r>
        <w:r w:rsidR="00D52581">
          <w:rPr>
            <w:noProof/>
            <w:webHidden/>
          </w:rPr>
        </w:r>
        <w:r w:rsidR="00D52581">
          <w:rPr>
            <w:noProof/>
            <w:webHidden/>
          </w:rPr>
          <w:fldChar w:fldCharType="separate"/>
        </w:r>
        <w:r w:rsidRPr="674B62DA">
          <w:rPr>
            <w:noProof/>
            <w:webHidden/>
          </w:rPr>
          <w:t>13</w:t>
        </w:r>
        <w:r w:rsidR="00D52581">
          <w:rPr>
            <w:noProof/>
            <w:webHidden/>
          </w:rPr>
          <w:fldChar w:fldCharType="end"/>
        </w:r>
      </w:hyperlink>
    </w:p>
    <w:p w14:paraId="02856E1F" w14:textId="4307C957"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39" w:history="1">
        <w:r w:rsidRPr="674B62DA">
          <w:rPr>
            <w:rStyle w:val="Hyperlink"/>
            <w:noProof/>
          </w:rPr>
          <w:t>3.1.3. Excess Heat Factor</w:t>
        </w:r>
        <w:r w:rsidR="00D52581">
          <w:rPr>
            <w:noProof/>
            <w:webHidden/>
          </w:rPr>
          <w:tab/>
        </w:r>
        <w:r w:rsidR="00D52581">
          <w:rPr>
            <w:noProof/>
            <w:webHidden/>
          </w:rPr>
          <w:fldChar w:fldCharType="begin"/>
        </w:r>
        <w:r w:rsidR="00D52581">
          <w:rPr>
            <w:noProof/>
            <w:webHidden/>
          </w:rPr>
          <w:instrText xml:space="preserve"> PAGEREF _Toc149907539 \h </w:instrText>
        </w:r>
        <w:r w:rsidR="00D52581">
          <w:rPr>
            <w:noProof/>
            <w:webHidden/>
          </w:rPr>
        </w:r>
        <w:r w:rsidR="00D52581">
          <w:rPr>
            <w:noProof/>
            <w:webHidden/>
          </w:rPr>
          <w:fldChar w:fldCharType="separate"/>
        </w:r>
        <w:r w:rsidRPr="674B62DA">
          <w:rPr>
            <w:noProof/>
            <w:webHidden/>
          </w:rPr>
          <w:t>13</w:t>
        </w:r>
        <w:r w:rsidR="00D52581">
          <w:rPr>
            <w:noProof/>
            <w:webHidden/>
          </w:rPr>
          <w:fldChar w:fldCharType="end"/>
        </w:r>
      </w:hyperlink>
    </w:p>
    <w:p w14:paraId="53DE5C4C" w14:textId="5ABB4727"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40" w:history="1">
        <w:r w:rsidRPr="674B62DA">
          <w:rPr>
            <w:rStyle w:val="Hyperlink"/>
            <w:noProof/>
          </w:rPr>
          <w:t>3.1.4. Common Alerting Protocol</w:t>
        </w:r>
        <w:r w:rsidR="00D52581">
          <w:rPr>
            <w:noProof/>
            <w:webHidden/>
          </w:rPr>
          <w:tab/>
        </w:r>
        <w:r w:rsidR="00D52581">
          <w:rPr>
            <w:noProof/>
            <w:webHidden/>
          </w:rPr>
          <w:fldChar w:fldCharType="begin"/>
        </w:r>
        <w:r w:rsidR="00D52581">
          <w:rPr>
            <w:noProof/>
            <w:webHidden/>
          </w:rPr>
          <w:instrText xml:space="preserve"> PAGEREF _Toc149907540 \h </w:instrText>
        </w:r>
        <w:r w:rsidR="00D52581">
          <w:rPr>
            <w:noProof/>
            <w:webHidden/>
          </w:rPr>
        </w:r>
        <w:r w:rsidR="00D52581">
          <w:rPr>
            <w:noProof/>
            <w:webHidden/>
          </w:rPr>
          <w:fldChar w:fldCharType="separate"/>
        </w:r>
        <w:r w:rsidRPr="674B62DA">
          <w:rPr>
            <w:noProof/>
            <w:webHidden/>
          </w:rPr>
          <w:t>14</w:t>
        </w:r>
        <w:r w:rsidR="00D52581">
          <w:rPr>
            <w:noProof/>
            <w:webHidden/>
          </w:rPr>
          <w:fldChar w:fldCharType="end"/>
        </w:r>
      </w:hyperlink>
    </w:p>
    <w:p w14:paraId="1487C2EE" w14:textId="3CD3AE97"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41" w:history="1">
        <w:r w:rsidRPr="674B62DA">
          <w:rPr>
            <w:rStyle w:val="Hyperlink"/>
            <w:noProof/>
          </w:rPr>
          <w:t>3.1.5. Total Warning System</w:t>
        </w:r>
        <w:r w:rsidR="00D52581">
          <w:rPr>
            <w:noProof/>
            <w:webHidden/>
          </w:rPr>
          <w:tab/>
        </w:r>
        <w:r w:rsidR="00D52581">
          <w:rPr>
            <w:noProof/>
            <w:webHidden/>
          </w:rPr>
          <w:fldChar w:fldCharType="begin"/>
        </w:r>
        <w:r w:rsidR="00D52581">
          <w:rPr>
            <w:noProof/>
            <w:webHidden/>
          </w:rPr>
          <w:instrText xml:space="preserve"> PAGEREF _Toc149907541 \h </w:instrText>
        </w:r>
        <w:r w:rsidR="00D52581">
          <w:rPr>
            <w:noProof/>
            <w:webHidden/>
          </w:rPr>
        </w:r>
        <w:r w:rsidR="00D52581">
          <w:rPr>
            <w:noProof/>
            <w:webHidden/>
          </w:rPr>
          <w:fldChar w:fldCharType="separate"/>
        </w:r>
        <w:r w:rsidRPr="674B62DA">
          <w:rPr>
            <w:noProof/>
            <w:webHidden/>
          </w:rPr>
          <w:t>14</w:t>
        </w:r>
        <w:r w:rsidR="00D52581">
          <w:rPr>
            <w:noProof/>
            <w:webHidden/>
          </w:rPr>
          <w:fldChar w:fldCharType="end"/>
        </w:r>
      </w:hyperlink>
    </w:p>
    <w:p w14:paraId="374DDD7B" w14:textId="79155346"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42" w:history="1">
        <w:r w:rsidRPr="674B62DA">
          <w:rPr>
            <w:rStyle w:val="Hyperlink"/>
            <w:noProof/>
          </w:rPr>
          <w:t>3.1.6. Australian Warning System</w:t>
        </w:r>
        <w:r w:rsidR="00D52581">
          <w:rPr>
            <w:noProof/>
            <w:webHidden/>
          </w:rPr>
          <w:tab/>
        </w:r>
        <w:r w:rsidR="00D52581">
          <w:rPr>
            <w:noProof/>
            <w:webHidden/>
          </w:rPr>
          <w:fldChar w:fldCharType="begin"/>
        </w:r>
        <w:r w:rsidR="00D52581">
          <w:rPr>
            <w:noProof/>
            <w:webHidden/>
          </w:rPr>
          <w:instrText xml:space="preserve"> PAGEREF _Toc149907542 \h </w:instrText>
        </w:r>
        <w:r w:rsidR="00D52581">
          <w:rPr>
            <w:noProof/>
            <w:webHidden/>
          </w:rPr>
        </w:r>
        <w:r w:rsidR="00D52581">
          <w:rPr>
            <w:noProof/>
            <w:webHidden/>
          </w:rPr>
          <w:fldChar w:fldCharType="separate"/>
        </w:r>
        <w:r w:rsidRPr="674B62DA">
          <w:rPr>
            <w:noProof/>
            <w:webHidden/>
          </w:rPr>
          <w:t>14</w:t>
        </w:r>
        <w:r w:rsidR="00D52581">
          <w:rPr>
            <w:noProof/>
            <w:webHidden/>
          </w:rPr>
          <w:fldChar w:fldCharType="end"/>
        </w:r>
      </w:hyperlink>
    </w:p>
    <w:p w14:paraId="41369A4A" w14:textId="5DB4880C"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43" w:history="1">
        <w:r w:rsidRPr="674B62DA">
          <w:rPr>
            <w:rStyle w:val="Hyperlink"/>
            <w:noProof/>
          </w:rPr>
          <w:t>3.2. Roles and Responsibilities</w:t>
        </w:r>
        <w:r w:rsidR="00D52581">
          <w:rPr>
            <w:noProof/>
            <w:webHidden/>
          </w:rPr>
          <w:tab/>
        </w:r>
        <w:r w:rsidR="00D52581">
          <w:rPr>
            <w:noProof/>
            <w:webHidden/>
          </w:rPr>
          <w:fldChar w:fldCharType="begin"/>
        </w:r>
        <w:r w:rsidR="00D52581">
          <w:rPr>
            <w:noProof/>
            <w:webHidden/>
          </w:rPr>
          <w:instrText xml:space="preserve"> PAGEREF _Toc149907543 \h </w:instrText>
        </w:r>
        <w:r w:rsidR="00D52581">
          <w:rPr>
            <w:noProof/>
            <w:webHidden/>
          </w:rPr>
        </w:r>
        <w:r w:rsidR="00D52581">
          <w:rPr>
            <w:noProof/>
            <w:webHidden/>
          </w:rPr>
          <w:fldChar w:fldCharType="separate"/>
        </w:r>
        <w:r w:rsidRPr="674B62DA">
          <w:rPr>
            <w:noProof/>
            <w:webHidden/>
          </w:rPr>
          <w:t>15</w:t>
        </w:r>
        <w:r w:rsidR="00D52581">
          <w:rPr>
            <w:noProof/>
            <w:webHidden/>
          </w:rPr>
          <w:fldChar w:fldCharType="end"/>
        </w:r>
      </w:hyperlink>
    </w:p>
    <w:p w14:paraId="66C9E438" w14:textId="1F9D9414"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44" w:history="1">
        <w:r w:rsidRPr="674B62DA">
          <w:rPr>
            <w:rStyle w:val="Hyperlink"/>
            <w:noProof/>
          </w:rPr>
          <w:t>3.2.1. Commonwealth</w:t>
        </w:r>
        <w:r w:rsidR="00D52581">
          <w:rPr>
            <w:noProof/>
            <w:webHidden/>
          </w:rPr>
          <w:tab/>
        </w:r>
        <w:r w:rsidR="00D52581">
          <w:rPr>
            <w:noProof/>
            <w:webHidden/>
          </w:rPr>
          <w:fldChar w:fldCharType="begin"/>
        </w:r>
        <w:r w:rsidR="00D52581">
          <w:rPr>
            <w:noProof/>
            <w:webHidden/>
          </w:rPr>
          <w:instrText xml:space="preserve"> PAGEREF _Toc149907544 \h </w:instrText>
        </w:r>
        <w:r w:rsidR="00D52581">
          <w:rPr>
            <w:noProof/>
            <w:webHidden/>
          </w:rPr>
        </w:r>
        <w:r w:rsidR="00D52581">
          <w:rPr>
            <w:noProof/>
            <w:webHidden/>
          </w:rPr>
          <w:fldChar w:fldCharType="separate"/>
        </w:r>
        <w:r w:rsidRPr="674B62DA">
          <w:rPr>
            <w:noProof/>
            <w:webHidden/>
          </w:rPr>
          <w:t>15</w:t>
        </w:r>
        <w:r w:rsidR="00D52581">
          <w:rPr>
            <w:noProof/>
            <w:webHidden/>
          </w:rPr>
          <w:fldChar w:fldCharType="end"/>
        </w:r>
      </w:hyperlink>
    </w:p>
    <w:p w14:paraId="6A45224A" w14:textId="74FE7DD6"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45" w:history="1">
        <w:r w:rsidRPr="674B62DA">
          <w:rPr>
            <w:rStyle w:val="Hyperlink"/>
            <w:noProof/>
          </w:rPr>
          <w:t>3.2.2. States and territories</w:t>
        </w:r>
        <w:r w:rsidR="00D52581">
          <w:rPr>
            <w:noProof/>
            <w:webHidden/>
          </w:rPr>
          <w:tab/>
        </w:r>
        <w:r w:rsidR="00D52581">
          <w:rPr>
            <w:noProof/>
            <w:webHidden/>
          </w:rPr>
          <w:fldChar w:fldCharType="begin"/>
        </w:r>
        <w:r w:rsidR="00D52581">
          <w:rPr>
            <w:noProof/>
            <w:webHidden/>
          </w:rPr>
          <w:instrText xml:space="preserve"> PAGEREF _Toc149907545 \h </w:instrText>
        </w:r>
        <w:r w:rsidR="00D52581">
          <w:rPr>
            <w:noProof/>
            <w:webHidden/>
          </w:rPr>
        </w:r>
        <w:r w:rsidR="00D52581">
          <w:rPr>
            <w:noProof/>
            <w:webHidden/>
          </w:rPr>
          <w:fldChar w:fldCharType="separate"/>
        </w:r>
        <w:r w:rsidRPr="674B62DA">
          <w:rPr>
            <w:noProof/>
            <w:webHidden/>
          </w:rPr>
          <w:t>16</w:t>
        </w:r>
        <w:r w:rsidR="00D52581">
          <w:rPr>
            <w:noProof/>
            <w:webHidden/>
          </w:rPr>
          <w:fldChar w:fldCharType="end"/>
        </w:r>
      </w:hyperlink>
    </w:p>
    <w:p w14:paraId="79416AF0" w14:textId="6CCB275B"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46" w:history="1">
        <w:r w:rsidRPr="674B62DA">
          <w:rPr>
            <w:rStyle w:val="Hyperlink"/>
            <w:noProof/>
          </w:rPr>
          <w:t>4. Australian Warning System: Heatwave Application</w:t>
        </w:r>
        <w:r w:rsidR="00D52581">
          <w:rPr>
            <w:noProof/>
            <w:webHidden/>
          </w:rPr>
          <w:tab/>
        </w:r>
        <w:r w:rsidR="00D52581">
          <w:rPr>
            <w:noProof/>
            <w:webHidden/>
          </w:rPr>
          <w:fldChar w:fldCharType="begin"/>
        </w:r>
        <w:r w:rsidR="00D52581">
          <w:rPr>
            <w:noProof/>
            <w:webHidden/>
          </w:rPr>
          <w:instrText xml:space="preserve"> PAGEREF _Toc149907546 \h </w:instrText>
        </w:r>
        <w:r w:rsidR="00D52581">
          <w:rPr>
            <w:noProof/>
            <w:webHidden/>
          </w:rPr>
        </w:r>
        <w:r w:rsidR="00D52581">
          <w:rPr>
            <w:noProof/>
            <w:webHidden/>
          </w:rPr>
          <w:fldChar w:fldCharType="separate"/>
        </w:r>
        <w:r w:rsidRPr="674B62DA">
          <w:rPr>
            <w:noProof/>
            <w:webHidden/>
          </w:rPr>
          <w:t>17</w:t>
        </w:r>
        <w:r w:rsidR="00D52581">
          <w:rPr>
            <w:noProof/>
            <w:webHidden/>
          </w:rPr>
          <w:fldChar w:fldCharType="end"/>
        </w:r>
      </w:hyperlink>
    </w:p>
    <w:p w14:paraId="5DB07544" w14:textId="627184FD"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47" w:history="1">
        <w:r w:rsidRPr="674B62DA">
          <w:rPr>
            <w:rStyle w:val="Hyperlink"/>
            <w:noProof/>
          </w:rPr>
          <w:t>5. Total Warning System: Heatwave Application</w:t>
        </w:r>
        <w:r w:rsidR="00D52581">
          <w:rPr>
            <w:noProof/>
            <w:webHidden/>
          </w:rPr>
          <w:tab/>
        </w:r>
        <w:r w:rsidR="00D52581">
          <w:rPr>
            <w:noProof/>
            <w:webHidden/>
          </w:rPr>
          <w:fldChar w:fldCharType="begin"/>
        </w:r>
        <w:r w:rsidR="00D52581">
          <w:rPr>
            <w:noProof/>
            <w:webHidden/>
          </w:rPr>
          <w:instrText xml:space="preserve"> PAGEREF _Toc149907547 \h </w:instrText>
        </w:r>
        <w:r w:rsidR="00D52581">
          <w:rPr>
            <w:noProof/>
            <w:webHidden/>
          </w:rPr>
        </w:r>
        <w:r w:rsidR="00D52581">
          <w:rPr>
            <w:noProof/>
            <w:webHidden/>
          </w:rPr>
          <w:fldChar w:fldCharType="separate"/>
        </w:r>
        <w:r w:rsidRPr="674B62DA">
          <w:rPr>
            <w:noProof/>
            <w:webHidden/>
          </w:rPr>
          <w:t>21</w:t>
        </w:r>
        <w:r w:rsidR="00D52581">
          <w:rPr>
            <w:noProof/>
            <w:webHidden/>
          </w:rPr>
          <w:fldChar w:fldCharType="end"/>
        </w:r>
      </w:hyperlink>
    </w:p>
    <w:p w14:paraId="558FAA1D" w14:textId="2CD206E4"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48" w:history="1">
        <w:r w:rsidRPr="674B62DA">
          <w:rPr>
            <w:rStyle w:val="Hyperlink"/>
            <w:noProof/>
          </w:rPr>
          <w:t>Appendix A – Authorising Environment for a National Heatwave Warning Framework</w:t>
        </w:r>
        <w:r w:rsidR="00D52581">
          <w:rPr>
            <w:noProof/>
            <w:webHidden/>
          </w:rPr>
          <w:tab/>
        </w:r>
        <w:r w:rsidR="00D52581">
          <w:rPr>
            <w:noProof/>
            <w:webHidden/>
          </w:rPr>
          <w:fldChar w:fldCharType="begin"/>
        </w:r>
        <w:r w:rsidR="00D52581">
          <w:rPr>
            <w:noProof/>
            <w:webHidden/>
          </w:rPr>
          <w:instrText xml:space="preserve"> PAGEREF _Toc149907548 \h </w:instrText>
        </w:r>
        <w:r w:rsidR="00D52581">
          <w:rPr>
            <w:noProof/>
            <w:webHidden/>
          </w:rPr>
        </w:r>
        <w:r w:rsidR="00D52581">
          <w:rPr>
            <w:noProof/>
            <w:webHidden/>
          </w:rPr>
          <w:fldChar w:fldCharType="separate"/>
        </w:r>
        <w:r w:rsidRPr="674B62DA">
          <w:rPr>
            <w:noProof/>
            <w:webHidden/>
          </w:rPr>
          <w:t>27</w:t>
        </w:r>
        <w:r w:rsidR="00D52581">
          <w:rPr>
            <w:noProof/>
            <w:webHidden/>
          </w:rPr>
          <w:fldChar w:fldCharType="end"/>
        </w:r>
      </w:hyperlink>
    </w:p>
    <w:p w14:paraId="037DF068" w14:textId="2BBA9C55"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49" w:history="1">
        <w:r w:rsidRPr="674B62DA">
          <w:rPr>
            <w:rStyle w:val="Hyperlink"/>
            <w:noProof/>
          </w:rPr>
          <w:t>Appendix B – Population groups that may be susceptible to heat-related illness</w:t>
        </w:r>
        <w:r w:rsidR="00D52581">
          <w:rPr>
            <w:noProof/>
            <w:webHidden/>
          </w:rPr>
          <w:tab/>
        </w:r>
        <w:r w:rsidR="00D52581">
          <w:rPr>
            <w:noProof/>
            <w:webHidden/>
          </w:rPr>
          <w:fldChar w:fldCharType="begin"/>
        </w:r>
        <w:r w:rsidR="00D52581">
          <w:rPr>
            <w:noProof/>
            <w:webHidden/>
          </w:rPr>
          <w:instrText xml:space="preserve"> PAGEREF _Toc149907549 \h </w:instrText>
        </w:r>
        <w:r w:rsidR="00D52581">
          <w:rPr>
            <w:noProof/>
            <w:webHidden/>
          </w:rPr>
        </w:r>
        <w:r w:rsidR="00D52581">
          <w:rPr>
            <w:noProof/>
            <w:webHidden/>
          </w:rPr>
          <w:fldChar w:fldCharType="separate"/>
        </w:r>
        <w:r w:rsidRPr="674B62DA">
          <w:rPr>
            <w:noProof/>
            <w:webHidden/>
          </w:rPr>
          <w:t>28</w:t>
        </w:r>
        <w:r w:rsidR="00D52581">
          <w:rPr>
            <w:noProof/>
            <w:webHidden/>
          </w:rPr>
          <w:fldChar w:fldCharType="end"/>
        </w:r>
      </w:hyperlink>
    </w:p>
    <w:p w14:paraId="117C7F67" w14:textId="60D6634E"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50" w:history="1">
        <w:r w:rsidRPr="674B62DA">
          <w:rPr>
            <w:rStyle w:val="Hyperlink"/>
            <w:noProof/>
          </w:rPr>
          <w:t>Appendix C – Excess Heat Factor</w:t>
        </w:r>
        <w:r w:rsidR="00D52581">
          <w:rPr>
            <w:noProof/>
            <w:webHidden/>
          </w:rPr>
          <w:tab/>
        </w:r>
        <w:r w:rsidR="00D52581">
          <w:rPr>
            <w:noProof/>
            <w:webHidden/>
          </w:rPr>
          <w:fldChar w:fldCharType="begin"/>
        </w:r>
        <w:r w:rsidR="00D52581">
          <w:rPr>
            <w:noProof/>
            <w:webHidden/>
          </w:rPr>
          <w:instrText xml:space="preserve"> PAGEREF _Toc149907550 \h </w:instrText>
        </w:r>
        <w:r w:rsidR="00D52581">
          <w:rPr>
            <w:noProof/>
            <w:webHidden/>
          </w:rPr>
        </w:r>
        <w:r w:rsidR="00D52581">
          <w:rPr>
            <w:noProof/>
            <w:webHidden/>
          </w:rPr>
          <w:fldChar w:fldCharType="separate"/>
        </w:r>
        <w:r w:rsidRPr="674B62DA">
          <w:rPr>
            <w:noProof/>
            <w:webHidden/>
          </w:rPr>
          <w:t>29</w:t>
        </w:r>
        <w:r w:rsidR="00D52581">
          <w:rPr>
            <w:noProof/>
            <w:webHidden/>
          </w:rPr>
          <w:fldChar w:fldCharType="end"/>
        </w:r>
      </w:hyperlink>
    </w:p>
    <w:p w14:paraId="7030600B" w14:textId="0D72B103"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51" w:history="1">
        <w:r w:rsidRPr="674B62DA">
          <w:rPr>
            <w:rStyle w:val="Hyperlink"/>
            <w:noProof/>
          </w:rPr>
          <w:t>Appendix D – Agencies relevant to Heatwave</w:t>
        </w:r>
        <w:r w:rsidR="00D52581">
          <w:rPr>
            <w:noProof/>
            <w:webHidden/>
          </w:rPr>
          <w:tab/>
        </w:r>
        <w:r w:rsidR="00D52581">
          <w:rPr>
            <w:noProof/>
            <w:webHidden/>
          </w:rPr>
          <w:fldChar w:fldCharType="begin"/>
        </w:r>
        <w:r w:rsidR="00D52581">
          <w:rPr>
            <w:noProof/>
            <w:webHidden/>
          </w:rPr>
          <w:instrText xml:space="preserve"> PAGEREF _Toc149907551 \h </w:instrText>
        </w:r>
        <w:r w:rsidR="00D52581">
          <w:rPr>
            <w:noProof/>
            <w:webHidden/>
          </w:rPr>
        </w:r>
        <w:r w:rsidR="00D52581">
          <w:rPr>
            <w:noProof/>
            <w:webHidden/>
          </w:rPr>
          <w:fldChar w:fldCharType="separate"/>
        </w:r>
        <w:r w:rsidRPr="674B62DA">
          <w:rPr>
            <w:noProof/>
            <w:webHidden/>
          </w:rPr>
          <w:t>30</w:t>
        </w:r>
        <w:r w:rsidR="00D52581">
          <w:rPr>
            <w:noProof/>
            <w:webHidden/>
          </w:rPr>
          <w:fldChar w:fldCharType="end"/>
        </w:r>
      </w:hyperlink>
    </w:p>
    <w:p w14:paraId="0AE166BB" w14:textId="3408EBA9"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52" w:history="1">
        <w:r w:rsidRPr="674B62DA">
          <w:rPr>
            <w:rStyle w:val="Hyperlink"/>
            <w:noProof/>
          </w:rPr>
          <w:t>Appendix E – Common Alerting Protocol</w:t>
        </w:r>
        <w:r w:rsidR="00D52581">
          <w:rPr>
            <w:noProof/>
            <w:webHidden/>
          </w:rPr>
          <w:tab/>
        </w:r>
        <w:r w:rsidR="00D52581">
          <w:rPr>
            <w:noProof/>
            <w:webHidden/>
          </w:rPr>
          <w:fldChar w:fldCharType="begin"/>
        </w:r>
        <w:r w:rsidR="00D52581">
          <w:rPr>
            <w:noProof/>
            <w:webHidden/>
          </w:rPr>
          <w:instrText xml:space="preserve"> PAGEREF _Toc149907552 \h </w:instrText>
        </w:r>
        <w:r w:rsidR="00D52581">
          <w:rPr>
            <w:noProof/>
            <w:webHidden/>
          </w:rPr>
        </w:r>
        <w:r w:rsidR="00D52581">
          <w:rPr>
            <w:noProof/>
            <w:webHidden/>
          </w:rPr>
          <w:fldChar w:fldCharType="separate"/>
        </w:r>
        <w:r w:rsidRPr="674B62DA">
          <w:rPr>
            <w:noProof/>
            <w:webHidden/>
          </w:rPr>
          <w:t>31</w:t>
        </w:r>
        <w:r w:rsidR="00D52581">
          <w:rPr>
            <w:noProof/>
            <w:webHidden/>
          </w:rPr>
          <w:fldChar w:fldCharType="end"/>
        </w:r>
      </w:hyperlink>
    </w:p>
    <w:p w14:paraId="042EDA98" w14:textId="789BBF9F" w:rsidR="00D52581" w:rsidRPr="0055334E" w:rsidRDefault="278260B4" w:rsidP="674B62DA">
      <w:pPr>
        <w:pStyle w:val="TOC1"/>
        <w:tabs>
          <w:tab w:val="right" w:leader="dot" w:pos="9628"/>
        </w:tabs>
        <w:ind w:left="142"/>
        <w:rPr>
          <w:rFonts w:eastAsiaTheme="minorEastAsia" w:cstheme="minorBidi"/>
          <w:b w:val="0"/>
          <w:bCs w:val="0"/>
          <w:noProof/>
          <w:color w:val="auto"/>
          <w:kern w:val="2"/>
          <w:sz w:val="20"/>
          <w:szCs w:val="20"/>
          <w:lang w:eastAsia="en-AU"/>
          <w14:ligatures w14:val="standardContextual"/>
        </w:rPr>
      </w:pPr>
      <w:hyperlink w:anchor="_Toc149907553" w:history="1">
        <w:r w:rsidRPr="674B62DA">
          <w:rPr>
            <w:rStyle w:val="Hyperlink"/>
            <w:noProof/>
            <w:sz w:val="32"/>
            <w:szCs w:val="32"/>
          </w:rPr>
          <w:t>References</w:t>
        </w:r>
        <w:r w:rsidR="00D52581" w:rsidRPr="0055334E">
          <w:rPr>
            <w:noProof/>
            <w:webHidden/>
            <w:sz w:val="32"/>
            <w:szCs w:val="44"/>
          </w:rPr>
          <w:tab/>
        </w:r>
        <w:r w:rsidR="00D52581" w:rsidRPr="0055334E">
          <w:rPr>
            <w:noProof/>
            <w:webHidden/>
            <w:sz w:val="32"/>
            <w:szCs w:val="32"/>
          </w:rPr>
          <w:fldChar w:fldCharType="begin"/>
        </w:r>
        <w:r w:rsidR="00D52581" w:rsidRPr="0055334E">
          <w:rPr>
            <w:noProof/>
            <w:webHidden/>
            <w:sz w:val="32"/>
            <w:szCs w:val="32"/>
          </w:rPr>
          <w:instrText xml:space="preserve"> PAGEREF _Toc149907553 \h </w:instrText>
        </w:r>
        <w:r w:rsidR="00D52581" w:rsidRPr="0055334E">
          <w:rPr>
            <w:noProof/>
            <w:webHidden/>
            <w:sz w:val="32"/>
            <w:szCs w:val="32"/>
          </w:rPr>
        </w:r>
        <w:r w:rsidR="00D52581" w:rsidRPr="0055334E">
          <w:rPr>
            <w:noProof/>
            <w:webHidden/>
            <w:sz w:val="32"/>
            <w:szCs w:val="32"/>
          </w:rPr>
          <w:fldChar w:fldCharType="separate"/>
        </w:r>
        <w:r w:rsidRPr="674B62DA">
          <w:rPr>
            <w:noProof/>
            <w:webHidden/>
            <w:sz w:val="32"/>
            <w:szCs w:val="32"/>
          </w:rPr>
          <w:t>33</w:t>
        </w:r>
        <w:r w:rsidR="00D52581" w:rsidRPr="0055334E">
          <w:rPr>
            <w:noProof/>
            <w:webHidden/>
            <w:sz w:val="32"/>
            <w:szCs w:val="32"/>
          </w:rPr>
          <w:fldChar w:fldCharType="end"/>
        </w:r>
      </w:hyperlink>
    </w:p>
    <w:p w14:paraId="1484B7B6" w14:textId="3087CCD4" w:rsidR="00D52581" w:rsidRPr="0055334E" w:rsidRDefault="278260B4" w:rsidP="674B62DA">
      <w:pPr>
        <w:pStyle w:val="TOC1"/>
        <w:tabs>
          <w:tab w:val="right" w:leader="dot" w:pos="9628"/>
        </w:tabs>
        <w:ind w:left="142"/>
        <w:rPr>
          <w:rFonts w:eastAsiaTheme="minorEastAsia" w:cstheme="minorBidi"/>
          <w:b w:val="0"/>
          <w:bCs w:val="0"/>
          <w:noProof/>
          <w:color w:val="auto"/>
          <w:kern w:val="2"/>
          <w:sz w:val="20"/>
          <w:szCs w:val="20"/>
          <w:lang w:eastAsia="en-AU"/>
          <w14:ligatures w14:val="standardContextual"/>
        </w:rPr>
      </w:pPr>
      <w:hyperlink w:anchor="_Toc149907554" w:history="1">
        <w:r w:rsidRPr="674B62DA">
          <w:rPr>
            <w:rStyle w:val="Hyperlink"/>
            <w:noProof/>
            <w:sz w:val="32"/>
            <w:szCs w:val="32"/>
          </w:rPr>
          <w:t>Navigation aids</w:t>
        </w:r>
        <w:r w:rsidR="00D52581" w:rsidRPr="0055334E">
          <w:rPr>
            <w:noProof/>
            <w:webHidden/>
            <w:sz w:val="32"/>
            <w:szCs w:val="44"/>
          </w:rPr>
          <w:tab/>
        </w:r>
        <w:r w:rsidR="00D52581" w:rsidRPr="0055334E">
          <w:rPr>
            <w:noProof/>
            <w:webHidden/>
            <w:sz w:val="32"/>
            <w:szCs w:val="32"/>
          </w:rPr>
          <w:fldChar w:fldCharType="begin"/>
        </w:r>
        <w:r w:rsidR="00D52581" w:rsidRPr="0055334E">
          <w:rPr>
            <w:noProof/>
            <w:webHidden/>
            <w:sz w:val="32"/>
            <w:szCs w:val="32"/>
          </w:rPr>
          <w:instrText xml:space="preserve"> PAGEREF _Toc149907554 \h </w:instrText>
        </w:r>
        <w:r w:rsidR="00D52581" w:rsidRPr="0055334E">
          <w:rPr>
            <w:noProof/>
            <w:webHidden/>
            <w:sz w:val="32"/>
            <w:szCs w:val="32"/>
          </w:rPr>
        </w:r>
        <w:r w:rsidR="00D52581" w:rsidRPr="0055334E">
          <w:rPr>
            <w:noProof/>
            <w:webHidden/>
            <w:sz w:val="32"/>
            <w:szCs w:val="32"/>
          </w:rPr>
          <w:fldChar w:fldCharType="separate"/>
        </w:r>
        <w:r w:rsidRPr="674B62DA">
          <w:rPr>
            <w:noProof/>
            <w:webHidden/>
            <w:sz w:val="32"/>
            <w:szCs w:val="32"/>
          </w:rPr>
          <w:t>35</w:t>
        </w:r>
        <w:r w:rsidR="00D52581" w:rsidRPr="0055334E">
          <w:rPr>
            <w:noProof/>
            <w:webHidden/>
            <w:sz w:val="32"/>
            <w:szCs w:val="32"/>
          </w:rPr>
          <w:fldChar w:fldCharType="end"/>
        </w:r>
      </w:hyperlink>
    </w:p>
    <w:p w14:paraId="42888753" w14:textId="5B25F68F"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55" w:history="1">
        <w:r w:rsidRPr="674B62DA">
          <w:rPr>
            <w:rStyle w:val="Hyperlink"/>
            <w:noProof/>
          </w:rPr>
          <w:t>List of figures</w:t>
        </w:r>
        <w:r w:rsidR="00D52581">
          <w:rPr>
            <w:noProof/>
            <w:webHidden/>
          </w:rPr>
          <w:tab/>
        </w:r>
        <w:r w:rsidR="00D52581">
          <w:rPr>
            <w:noProof/>
            <w:webHidden/>
          </w:rPr>
          <w:fldChar w:fldCharType="begin"/>
        </w:r>
        <w:r w:rsidR="00D52581">
          <w:rPr>
            <w:noProof/>
            <w:webHidden/>
          </w:rPr>
          <w:instrText xml:space="preserve"> PAGEREF _Toc149907555 \h </w:instrText>
        </w:r>
        <w:r w:rsidR="00D52581">
          <w:rPr>
            <w:noProof/>
            <w:webHidden/>
          </w:rPr>
        </w:r>
        <w:r w:rsidR="00D52581">
          <w:rPr>
            <w:noProof/>
            <w:webHidden/>
          </w:rPr>
          <w:fldChar w:fldCharType="separate"/>
        </w:r>
        <w:r w:rsidRPr="674B62DA">
          <w:rPr>
            <w:noProof/>
            <w:webHidden/>
          </w:rPr>
          <w:t>35</w:t>
        </w:r>
        <w:r w:rsidR="00D52581">
          <w:rPr>
            <w:noProof/>
            <w:webHidden/>
          </w:rPr>
          <w:fldChar w:fldCharType="end"/>
        </w:r>
      </w:hyperlink>
    </w:p>
    <w:p w14:paraId="0ABC5C90" w14:textId="66F8F52F" w:rsidR="00D52581" w:rsidRDefault="278260B4" w:rsidP="674B62DA">
      <w:pPr>
        <w:pStyle w:val="TOC2"/>
        <w:rPr>
          <w:rFonts w:eastAsiaTheme="minorEastAsia" w:cstheme="minorBidi"/>
          <w:noProof/>
          <w:color w:val="auto"/>
          <w:kern w:val="2"/>
          <w:sz w:val="22"/>
          <w:szCs w:val="22"/>
          <w:lang w:eastAsia="en-AU"/>
          <w14:ligatures w14:val="standardContextual"/>
        </w:rPr>
      </w:pPr>
      <w:hyperlink w:anchor="_Toc149907556" w:history="1">
        <w:r w:rsidRPr="674B62DA">
          <w:rPr>
            <w:rStyle w:val="Hyperlink"/>
            <w:noProof/>
          </w:rPr>
          <w:t>List of tables</w:t>
        </w:r>
        <w:r w:rsidR="00D52581">
          <w:rPr>
            <w:noProof/>
            <w:webHidden/>
          </w:rPr>
          <w:tab/>
        </w:r>
        <w:r w:rsidR="00D52581">
          <w:rPr>
            <w:noProof/>
            <w:webHidden/>
          </w:rPr>
          <w:fldChar w:fldCharType="begin"/>
        </w:r>
        <w:r w:rsidR="00D52581">
          <w:rPr>
            <w:noProof/>
            <w:webHidden/>
          </w:rPr>
          <w:instrText xml:space="preserve"> PAGEREF _Toc149907556 \h </w:instrText>
        </w:r>
        <w:r w:rsidR="00D52581">
          <w:rPr>
            <w:noProof/>
            <w:webHidden/>
          </w:rPr>
        </w:r>
        <w:r w:rsidR="00D52581">
          <w:rPr>
            <w:noProof/>
            <w:webHidden/>
          </w:rPr>
          <w:fldChar w:fldCharType="separate"/>
        </w:r>
        <w:r w:rsidRPr="674B62DA">
          <w:rPr>
            <w:noProof/>
            <w:webHidden/>
          </w:rPr>
          <w:t>35</w:t>
        </w:r>
        <w:r w:rsidR="00D52581">
          <w:rPr>
            <w:noProof/>
            <w:webHidden/>
          </w:rPr>
          <w:fldChar w:fldCharType="end"/>
        </w:r>
      </w:hyperlink>
    </w:p>
    <w:p w14:paraId="73CB3743" w14:textId="59B81650" w:rsidR="00BF7FB1" w:rsidRDefault="00E21270">
      <w:r w:rsidRPr="674B62DA">
        <w:rPr>
          <w:rFonts w:eastAsiaTheme="majorEastAsia" w:cstheme="majorBidi"/>
          <w:b/>
          <w:bCs/>
          <w:color w:val="000000" w:themeColor="text1"/>
          <w:sz w:val="36"/>
          <w:szCs w:val="36"/>
        </w:rPr>
        <w:fldChar w:fldCharType="end"/>
      </w:r>
    </w:p>
    <w:p w14:paraId="5613FE46" w14:textId="77777777" w:rsidR="00F1364E" w:rsidRDefault="00F1364E"/>
    <w:p w14:paraId="580EA3DC" w14:textId="77777777" w:rsidR="00F1364E" w:rsidRDefault="00F1364E">
      <w:pPr>
        <w:sectPr w:rsidR="00F1364E" w:rsidSect="001D62BB">
          <w:pgSz w:w="11906" w:h="16838"/>
          <w:pgMar w:top="2041" w:right="1134" w:bottom="1418" w:left="1134" w:header="567" w:footer="709" w:gutter="0"/>
          <w:cols w:space="708"/>
          <w:titlePg/>
          <w:docGrid w:linePitch="360"/>
        </w:sectPr>
      </w:pPr>
    </w:p>
    <w:p w14:paraId="02BDD29E" w14:textId="77777777" w:rsidR="00FB4EEE" w:rsidRPr="00E21270" w:rsidRDefault="7B60CC16" w:rsidP="00E21270">
      <w:pPr>
        <w:pStyle w:val="NumberedHeading1"/>
      </w:pPr>
      <w:bookmarkStart w:id="0" w:name="_Toc119931209"/>
      <w:bookmarkStart w:id="1" w:name="_Toc149899471"/>
      <w:bookmarkStart w:id="2" w:name="_Toc149907527"/>
      <w:r>
        <w:lastRenderedPageBreak/>
        <w:t>Background</w:t>
      </w:r>
      <w:bookmarkEnd w:id="0"/>
      <w:bookmarkEnd w:id="1"/>
      <w:bookmarkEnd w:id="2"/>
    </w:p>
    <w:p w14:paraId="4745B1FE" w14:textId="77777777" w:rsidR="00FB4EEE" w:rsidRPr="00385A1C" w:rsidRDefault="7B60CC16" w:rsidP="00FB4EEE">
      <w:pPr>
        <w:pStyle w:val="NumberedHeading2"/>
      </w:pPr>
      <w:bookmarkStart w:id="3" w:name="_Toc119931210"/>
      <w:bookmarkStart w:id="4" w:name="_Toc149899472"/>
      <w:bookmarkStart w:id="5" w:name="_Toc149907528"/>
      <w:r>
        <w:t>Purpose</w:t>
      </w:r>
      <w:bookmarkEnd w:id="3"/>
      <w:bookmarkEnd w:id="4"/>
      <w:bookmarkEnd w:id="5"/>
    </w:p>
    <w:p w14:paraId="57CA38C3" w14:textId="77777777" w:rsidR="00FB4EEE" w:rsidRDefault="7B60CC16" w:rsidP="00FB4EEE">
      <w:r>
        <w:t>The purpose of the National Heatwave Warning Framework (the Framework) is to provide the foundation for a consistent approach to heat health and heatwave warnings across Australian state and territories.</w:t>
      </w:r>
    </w:p>
    <w:p w14:paraId="03F0795E" w14:textId="77777777" w:rsidR="00FB4EEE" w:rsidRDefault="7B60CC16" w:rsidP="00FB4EEE">
      <w:r>
        <w:t>The primary intent of the Framework is to reduce the health impact of heatwaves, noting that heatwaves also adversely impact sectors such as water, energy, infrastructure, agriculture and transport.</w:t>
      </w:r>
    </w:p>
    <w:p w14:paraId="3B6CCD89" w14:textId="77777777" w:rsidR="00FB4EEE" w:rsidRDefault="7B60CC16" w:rsidP="00FB4EEE">
      <w:r>
        <w:t xml:space="preserve">Improving knowledge of heat hazards can assist people and organisations to prepare for, and cope with, the effects of extreme heat and the impacts of a changing climate. The capacity of people and organisations to act is enhanced by nationally consistent and aligned guidance that clarifies methods, approaches, roles and responsibilities. </w:t>
      </w:r>
    </w:p>
    <w:p w14:paraId="5815D80F" w14:textId="00E8A034" w:rsidR="00FB4EEE" w:rsidRDefault="00FB4EEE" w:rsidP="00FB4EEE">
      <w:r>
        <w:t xml:space="preserve">Making this achievable requires collaboration and cooperation across multiple stakeholders, focused on a unified approach to effective climate and disaster risk reduction. </w:t>
      </w:r>
    </w:p>
    <w:p w14:paraId="590EA8BD" w14:textId="77777777" w:rsidR="00FB4EEE" w:rsidRDefault="7B60CC16" w:rsidP="00FB4EEE">
      <w:pPr>
        <w:pStyle w:val="NumberedHeading2"/>
      </w:pPr>
      <w:bookmarkStart w:id="6" w:name="_Toc119931211"/>
      <w:bookmarkStart w:id="7" w:name="_Toc149899473"/>
      <w:bookmarkStart w:id="8" w:name="_Toc149907529"/>
      <w:r>
        <w:t>Scope</w:t>
      </w:r>
      <w:bookmarkEnd w:id="6"/>
      <w:bookmarkEnd w:id="7"/>
      <w:bookmarkEnd w:id="8"/>
    </w:p>
    <w:p w14:paraId="226C4D14" w14:textId="77777777" w:rsidR="00FB4EEE" w:rsidRDefault="7B60CC16" w:rsidP="00FB4EEE">
      <w:r>
        <w:t>The Framework aims to align the approaches to heatwave warnings taken by the Commonwealth, state and territory governments. Although local governments or non-government associations contribute to heatwave response, the Framework scope does not currently include their roles.</w:t>
      </w:r>
    </w:p>
    <w:p w14:paraId="14D76A34" w14:textId="23EF6D90" w:rsidR="00E21270" w:rsidRDefault="00CD2499" w:rsidP="00FB4EEE">
      <w:r>
        <w:t>A</w:t>
      </w:r>
      <w:r w:rsidR="00E21270">
        <w:t>pproaches to the management of heatwaves</w:t>
      </w:r>
      <w:r>
        <w:t xml:space="preserve"> varies</w:t>
      </w:r>
      <w:r w:rsidR="00E21270">
        <w:t xml:space="preserve"> across Australia. </w:t>
      </w:r>
    </w:p>
    <w:p w14:paraId="2FD5B9C1" w14:textId="209ED8C2" w:rsidR="00FB4EEE" w:rsidRDefault="7B60CC16" w:rsidP="00FB4EEE">
      <w:r>
        <w:t xml:space="preserve">States and territories have different portfolio responsibilities, and each jurisdiction uses its own metrics, warnings thresholds, nomenclature and response processes. In recognition of these different approaches, this Framework provides a consistent basis for all jurisdictions to work towards. </w:t>
      </w:r>
    </w:p>
    <w:p w14:paraId="3543F183" w14:textId="77777777" w:rsidR="00FB4EEE" w:rsidRDefault="00FB4EEE" w:rsidP="00FB4EEE">
      <w:r>
        <w:t>This Framework is about heatwave as a hazard however it sits within a broader context of international and domestic risk reduction strategies (see Appendix A).</w:t>
      </w:r>
    </w:p>
    <w:p w14:paraId="0A95049C" w14:textId="77777777" w:rsidR="00FB4EEE" w:rsidRDefault="7B60CC16" w:rsidP="00FB4EEE">
      <w:pPr>
        <w:pStyle w:val="NumberedHeading2"/>
      </w:pPr>
      <w:bookmarkStart w:id="9" w:name="_Toc119931212"/>
      <w:bookmarkStart w:id="10" w:name="_Toc149899474"/>
      <w:bookmarkStart w:id="11" w:name="_Toc149907530"/>
      <w:r>
        <w:t>Approach</w:t>
      </w:r>
      <w:bookmarkEnd w:id="9"/>
      <w:bookmarkEnd w:id="10"/>
      <w:bookmarkEnd w:id="11"/>
    </w:p>
    <w:p w14:paraId="11DE9C3B" w14:textId="46FFDA20" w:rsidR="00FB4EEE" w:rsidRDefault="7B60CC16" w:rsidP="00FB4EEE">
      <w:r>
        <w:t>The Framework is based on a total warning system (TWS) (AIDR 2018)</w:t>
      </w:r>
      <w:r w:rsidR="45767B33">
        <w:t>. The TWS</w:t>
      </w:r>
      <w:r>
        <w:t xml:space="preserve"> describes the lifecycle of action before, during and after an emergency, as well as ongoing actions. It involves understanding the nature of a hazard and effectively communicating that information to facilitate protective action and timely response (Mileti and Sorenson 1990; Sorenson 2000).</w:t>
      </w:r>
    </w:p>
    <w:p w14:paraId="241C48D2" w14:textId="37610497" w:rsidR="00FB4EEE" w:rsidRDefault="7B60CC16" w:rsidP="00FB4EEE">
      <w:r>
        <w:t xml:space="preserve">The TWS provides a structure for capturing the steps that should be taken by health agencies, emergency services and the Bureau of Meteorology (the Bureau) to move towards a nationally consistent, end to end warning service for heatwaves. The Framework also aligns with the Australian Warning System (AWS) which provides an agreed </w:t>
      </w:r>
      <w:r w:rsidR="45767B33">
        <w:t>3</w:t>
      </w:r>
      <w:r>
        <w:t>-level warning framework for Australian governments.</w:t>
      </w:r>
    </w:p>
    <w:p w14:paraId="66291AF3" w14:textId="77777777" w:rsidR="00FB4EEE" w:rsidRDefault="7B60CC16" w:rsidP="00FB4EEE">
      <w:pPr>
        <w:pStyle w:val="NumberedHeading1"/>
      </w:pPr>
      <w:bookmarkStart w:id="12" w:name="_Toc119931213"/>
      <w:bookmarkStart w:id="13" w:name="_Toc149899475"/>
      <w:bookmarkStart w:id="14" w:name="_Toc149907531"/>
      <w:r>
        <w:lastRenderedPageBreak/>
        <w:t>Heatwave in Australia</w:t>
      </w:r>
      <w:bookmarkEnd w:id="12"/>
      <w:bookmarkEnd w:id="13"/>
      <w:bookmarkEnd w:id="14"/>
    </w:p>
    <w:p w14:paraId="51FBBC1C" w14:textId="5C081707" w:rsidR="00FB4EEE" w:rsidRDefault="7B60CC16" w:rsidP="00FB4EEE">
      <w:r>
        <w:t>Heatwaves are Australia’s most costly natural disaster in terms of loss of life, accounting for around half of Australian natural disaster fatalities (Handmer et al. 2016). While the deaths attributed to most hazard types have remained relatively stable over time, there is a strong recent increase in heatwave fatalities</w:t>
      </w:r>
      <w:r w:rsidR="45767B33">
        <w:t>.</w:t>
      </w:r>
      <w:r>
        <w:t xml:space="preserve"> </w:t>
      </w:r>
      <w:r w:rsidR="45767B33">
        <w:t>C</w:t>
      </w:r>
      <w:r>
        <w:t>limate projections indicate that "increasing heatwave severity and frequency are virtually certain" (Handmer et al. 2016 p. 3). Heat health impacts range from mild conditions</w:t>
      </w:r>
      <w:r w:rsidR="45767B33">
        <w:t>,</w:t>
      </w:r>
      <w:r>
        <w:t xml:space="preserve"> such as rashes and cramps</w:t>
      </w:r>
      <w:r w:rsidR="45767B33">
        <w:t>,</w:t>
      </w:r>
      <w:r>
        <w:t xml:space="preserve"> through to exacerbation of existing conditions and potentially fatal conditions, such as heat stroke (NCE 2018). </w:t>
      </w:r>
    </w:p>
    <w:p w14:paraId="416C6439" w14:textId="67C8AE6C" w:rsidR="00FB4EEE" w:rsidRDefault="7B60CC16" w:rsidP="00FB4EEE">
      <w:r>
        <w:t>There is a growing awareness among disaster response practitioners of compounding disaster risks and the interconnected causes and cascading effects of disasters (PEAN 2021). Recent research (PEAN 2021) highlights that the impact of heatwaves can be both mitigated and exacerbated by social, economic and physical circumstances, including health risk factors, income level, household composition and neighbourhood vegetation cover. In addition to health risks, heatwaves can significantly impact critical infrastructure including transport and electricity supply which in turn create risks to community safety (NCE 2018). Costs of heatwave principally relate to the loss of life (Handmer et al., 2016), demands on emergency and health services, and loss of production through both health effects</w:t>
      </w:r>
      <w:r w:rsidR="2E9F07E2">
        <w:t>,</w:t>
      </w:r>
      <w:r>
        <w:t xml:space="preserve"> including longer-term disability</w:t>
      </w:r>
      <w:r w:rsidR="2E9F07E2">
        <w:t>,</w:t>
      </w:r>
      <w:r>
        <w:t xml:space="preserve"> and direct impacts on industries (NCE 2018).</w:t>
      </w:r>
    </w:p>
    <w:p w14:paraId="764DC7AE" w14:textId="5677643C" w:rsidR="00FB4EEE" w:rsidRDefault="7B60CC16" w:rsidP="00FB4EEE">
      <w:r>
        <w:t xml:space="preserve">Secondary impacts from heatwaves can also limit the range of protective actions </w:t>
      </w:r>
      <w:r w:rsidR="2E9F07E2">
        <w:t>available</w:t>
      </w:r>
      <w:r>
        <w:t xml:space="preserve"> to mitigate harm of the original hazard. Electricity supply failure can lead to disruption to air conditioning systems, potable water supply, wastewater treatment systems, telecommunications and traffic signals. </w:t>
      </w:r>
      <w:r w:rsidR="2E9F07E2">
        <w:t xml:space="preserve">Natural Capital Economics (NCE) </w:t>
      </w:r>
      <w:r>
        <w:t>(2018) considers that vulnerability in the electricity and water supply sectors has a high capacity to increase the vulnerability of other sectors, including health. Although beyond the scope of this Framework, heatwaves create broader economic disruptions to many industries, with agriculture being the worst affected (NCE 2018).</w:t>
      </w:r>
    </w:p>
    <w:p w14:paraId="20F24A69" w14:textId="77777777" w:rsidR="00FB4EEE" w:rsidRDefault="7B60CC16" w:rsidP="00FB4EEE">
      <w:pPr>
        <w:pStyle w:val="NumberedHeading2"/>
      </w:pPr>
      <w:bookmarkStart w:id="15" w:name="_Toc119931214"/>
      <w:bookmarkStart w:id="16" w:name="_Toc149899476"/>
      <w:bookmarkStart w:id="17" w:name="_Toc149907532"/>
      <w:r>
        <w:t>Future projections</w:t>
      </w:r>
      <w:bookmarkEnd w:id="15"/>
      <w:bookmarkEnd w:id="16"/>
      <w:bookmarkEnd w:id="17"/>
    </w:p>
    <w:p w14:paraId="0A1D5CB7" w14:textId="3D4D281D" w:rsidR="00FB4EEE" w:rsidRDefault="7B60CC16" w:rsidP="00FB4EEE">
      <w:r>
        <w:t>Australia’s national climate projections indicate that over coming decades Australia will experience further increase</w:t>
      </w:r>
      <w:r w:rsidR="2E9F07E2">
        <w:t>s</w:t>
      </w:r>
      <w:r>
        <w:t xml:space="preserve"> in temperatures, with more extremely hot days. Heatwaves are becoming more frequent, hotter, of longer duration and occurring earlier in the peak season (</w:t>
      </w:r>
      <w:r w:rsidR="2E9F07E2">
        <w:t xml:space="preserve">BOM </w:t>
      </w:r>
      <w:r>
        <w:t>and CSIRO 2020).</w:t>
      </w:r>
    </w:p>
    <w:p w14:paraId="237A7F4C" w14:textId="5408C3F7" w:rsidR="00FB4EEE" w:rsidRDefault="00FB4EEE" w:rsidP="00FB4EEE">
      <w:r>
        <w:t>The Bureau notes that Australia’s climate has warmed by around 1.44 degrees Celsius since 1910, leading to an increase in the frequency of extreme events. Rarely experienced hot days now happen multiple times per year (see Figure 1) (</w:t>
      </w:r>
      <w:r w:rsidR="00871D70">
        <w:t xml:space="preserve">BOM </w:t>
      </w:r>
      <w:r>
        <w:t>and CSIRO 2020).</w:t>
      </w:r>
    </w:p>
    <w:p w14:paraId="68DC0507" w14:textId="77777777" w:rsidR="00FB4EEE" w:rsidRDefault="7B60CC16" w:rsidP="00FB4EEE">
      <w:pPr>
        <w:pStyle w:val="Tabletitle"/>
        <w:keepNext/>
      </w:pPr>
      <w:r>
        <w:lastRenderedPageBreak/>
        <w:t>Number of days each year where the Australian area-averaged daily mean temperature is extreme</w:t>
      </w:r>
    </w:p>
    <w:p w14:paraId="5BB9C9F6" w14:textId="77777777" w:rsidR="00FB4EEE" w:rsidRDefault="7B60CC16" w:rsidP="00FB4EEE">
      <w:pPr>
        <w:pStyle w:val="Tabletitle"/>
      </w:pPr>
      <w:r>
        <w:t xml:space="preserve"> </w:t>
      </w:r>
      <w:r>
        <w:rPr>
          <w:noProof/>
        </w:rPr>
        <w:drawing>
          <wp:inline distT="0" distB="0" distL="0" distR="0" wp14:anchorId="7176812F" wp14:editId="2E0504EA">
            <wp:extent cx="5486400" cy="3581400"/>
            <wp:effectExtent l="0" t="0" r="0" b="0"/>
            <wp:docPr id="242" name="Picture 242" descr="Bar chart showing the number of days each year where the Australian area averaged daily mean temperature is extreme. It shows a upward trend from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3581400"/>
                    </a:xfrm>
                    <a:prstGeom prst="rect">
                      <a:avLst/>
                    </a:prstGeom>
                  </pic:spPr>
                </pic:pic>
              </a:graphicData>
            </a:graphic>
          </wp:inline>
        </w:drawing>
      </w:r>
    </w:p>
    <w:p w14:paraId="0185DC34" w14:textId="6F52B5FE" w:rsidR="00FB4EEE" w:rsidRPr="00AA7DA6" w:rsidRDefault="7B60CC16" w:rsidP="00FB4EEE">
      <w:pPr>
        <w:pStyle w:val="Caption"/>
      </w:pPr>
      <w:bookmarkStart w:id="18" w:name="_Toc119931281"/>
      <w:r>
        <w:t xml:space="preserve">Figure </w:t>
      </w:r>
      <w:r w:rsidR="00FB4EEE">
        <w:fldChar w:fldCharType="begin"/>
      </w:r>
      <w:r w:rsidR="00FB4EEE">
        <w:instrText>SEQ Figure \* ARABIC</w:instrText>
      </w:r>
      <w:r w:rsidR="00FB4EEE">
        <w:fldChar w:fldCharType="separate"/>
      </w:r>
      <w:r>
        <w:t>1</w:t>
      </w:r>
      <w:r w:rsidR="00FB4EEE">
        <w:fldChar w:fldCharType="end"/>
      </w:r>
      <w:r>
        <w:t xml:space="preserve">: </w:t>
      </w:r>
      <w:bookmarkStart w:id="19" w:name="_Hlk117158291"/>
      <w:r>
        <w:t>Number of days each year where the Australian area-averaged daily mean temperature is extreme</w:t>
      </w:r>
      <w:bookmarkEnd w:id="19"/>
      <w:r>
        <w:t>. Extreme days are those above the 99th percentile of each month from the years 1910–2019 (</w:t>
      </w:r>
      <w:r w:rsidR="2E9F07E2">
        <w:t xml:space="preserve">BOM </w:t>
      </w:r>
      <w:r>
        <w:t>and CSIRO, 2020, p4).</w:t>
      </w:r>
      <w:bookmarkEnd w:id="18"/>
    </w:p>
    <w:p w14:paraId="075D77B5" w14:textId="0EA264CF" w:rsidR="00FB4EEE" w:rsidRDefault="7B60CC16" w:rsidP="00FB4EEE">
      <w:r>
        <w:t>The effects of heatwaves can be exacerbated by changes in demographic and social factors</w:t>
      </w:r>
      <w:r w:rsidR="2E9F07E2">
        <w:t>,</w:t>
      </w:r>
      <w:r>
        <w:t xml:space="preserve"> including population growth</w:t>
      </w:r>
      <w:r w:rsidR="2E9F07E2">
        <w:t>,</w:t>
      </w:r>
      <w:r>
        <w:t xml:space="preserve"> and the effects of urbani</w:t>
      </w:r>
      <w:r w:rsidR="2E9F07E2">
        <w:t>s</w:t>
      </w:r>
      <w:r>
        <w:t>ation in retaining heat in built up areas (PEAN 2021). This in turn exerts more pressure on health systems and infrastructure.</w:t>
      </w:r>
    </w:p>
    <w:p w14:paraId="27C612CE" w14:textId="77777777" w:rsidR="00FB4EEE" w:rsidRDefault="7B60CC16" w:rsidP="00FB4EEE">
      <w:pPr>
        <w:pStyle w:val="NumberedHeading2"/>
      </w:pPr>
      <w:bookmarkStart w:id="20" w:name="_Toc119931215"/>
      <w:bookmarkStart w:id="21" w:name="_Toc149899477"/>
      <w:bookmarkStart w:id="22" w:name="_Toc149907533"/>
      <w:r>
        <w:t>Who is at greatest risk?</w:t>
      </w:r>
      <w:bookmarkEnd w:id="20"/>
      <w:bookmarkEnd w:id="21"/>
      <w:bookmarkEnd w:id="22"/>
    </w:p>
    <w:p w14:paraId="74CC22B7" w14:textId="4ADD09EC" w:rsidR="00FB4EEE" w:rsidRDefault="7B60CC16" w:rsidP="00FB4EEE">
      <w:r>
        <w:t xml:space="preserve">The factors </w:t>
      </w:r>
      <w:r w:rsidR="2E9F07E2">
        <w:t>determining</w:t>
      </w:r>
      <w:r>
        <w:t xml:space="preserve"> a person’s vulnerability to heatwaves include age, pre-existing physical and mental health conditions, occupation and socioeconomic status. Other relevant factors include the nature of the urban environment</w:t>
      </w:r>
      <w:r w:rsidR="2E9F07E2">
        <w:t>,</w:t>
      </w:r>
      <w:r>
        <w:t xml:space="preserve"> which can amplify heat exposure, dwelling type, social connectedness, access to health services and access to web and phone services (PEAN 2021). </w:t>
      </w:r>
    </w:p>
    <w:p w14:paraId="565CBFAD" w14:textId="5063F7B2" w:rsidR="00FB4EEE" w:rsidRDefault="00FB4EEE" w:rsidP="00FB4EEE">
      <w:r>
        <w:t xml:space="preserve">Anyone can be affected by heatwaves; however, health risks are greatest in the elderly and young, those with underlying chronic diseases, people in low-income households and people that are socially isolated (Coates et al. 2014). Appendix B details population groups likely to be susceptible to heat-related illness. Individuals </w:t>
      </w:r>
      <w:r w:rsidR="00871D70">
        <w:t>belonging</w:t>
      </w:r>
      <w:r>
        <w:t xml:space="preserve"> to more than one at-risk group may be at higher risk of heat illness.</w:t>
      </w:r>
    </w:p>
    <w:p w14:paraId="3F323560" w14:textId="77777777" w:rsidR="00FB4EEE" w:rsidRDefault="7B60CC16" w:rsidP="00FB4EEE">
      <w:pPr>
        <w:pStyle w:val="NumberedHeading2"/>
      </w:pPr>
      <w:bookmarkStart w:id="23" w:name="_Toc119931216"/>
      <w:bookmarkStart w:id="24" w:name="_Toc149899478"/>
      <w:bookmarkStart w:id="25" w:name="_Toc149907534"/>
      <w:r>
        <w:t>Public understanding of impact</w:t>
      </w:r>
      <w:bookmarkEnd w:id="23"/>
      <w:bookmarkEnd w:id="24"/>
      <w:bookmarkEnd w:id="25"/>
    </w:p>
    <w:p w14:paraId="04368270" w14:textId="2622530A" w:rsidR="00FB4EEE" w:rsidRDefault="7B60CC16" w:rsidP="00FB4EEE">
      <w:r>
        <w:t xml:space="preserve">Recent research about community understanding of warnings found that public recognition of formal systems for heatwave warnings was almost non-existent. </w:t>
      </w:r>
      <w:r w:rsidR="6491AA55">
        <w:t>P</w:t>
      </w:r>
      <w:r>
        <w:t xml:space="preserve">articipants spoke of receiving information regarding days of above average temperatures through news outlets, including advice on simple actions to be taken (Metrix 2019). </w:t>
      </w:r>
    </w:p>
    <w:p w14:paraId="3A36BF01" w14:textId="208497F7" w:rsidR="00FB4EEE" w:rsidRDefault="7B60CC16" w:rsidP="00FB4EEE">
      <w:r>
        <w:lastRenderedPageBreak/>
        <w:t xml:space="preserve">However, "almost all participants felt extreme heat warnings are only applicable for vulnerable groups" (Metrix 2019 p35). As described by Nairn and Fawcett </w:t>
      </w:r>
      <w:r w:rsidR="6491AA55">
        <w:t>(</w:t>
      </w:r>
      <w:r>
        <w:t>2013</w:t>
      </w:r>
      <w:r w:rsidR="6491AA55">
        <w:t>)</w:t>
      </w:r>
      <w:r>
        <w:t>, the "Australian community understands that heatwaves are a common summertime experience and rarely anticipates significant human health risk".</w:t>
      </w:r>
    </w:p>
    <w:p w14:paraId="614A6BAB" w14:textId="4283B965" w:rsidR="00FB4EEE" w:rsidRDefault="7B60CC16" w:rsidP="00FB4EEE">
      <w:r>
        <w:t xml:space="preserve">Individuals and communities are better able to respond to extreme weather when the impacts of forecast weather are communicated and understood. Although there is good public understanding of what the weather will be, there is a less understanding of what that weather will do and, consequently, what action is needed (WMO 2015, Kaltenberger et al. 2020). An impact-based warning approach remedies this disconnect between the quality and accuracy of forecasts and warnings, and the understanding of their meaning by relevant authorities and the public (WMO 2015). Best practice warnings provide information about what the hazard will </w:t>
      </w:r>
      <w:r w:rsidR="52C6185C">
        <w:t xml:space="preserve">do </w:t>
      </w:r>
      <w:r>
        <w:t xml:space="preserve">and the kind of protective action people should take. </w:t>
      </w:r>
    </w:p>
    <w:p w14:paraId="7F1164F2" w14:textId="77777777" w:rsidR="00FB4EEE" w:rsidRDefault="00FB4EEE" w:rsidP="00FB4EEE">
      <w:r>
        <w:t>In Australia, Commonwealth and state and territory governments are working towards impact-based forecasts and warnings across many hazards. In many cases, partnerships and institutional arrangements between relevant agencies are already in place to support this work.</w:t>
      </w:r>
    </w:p>
    <w:p w14:paraId="595A9258" w14:textId="224B8C5D" w:rsidR="00FB4EEE" w:rsidRDefault="7B60CC16" w:rsidP="00FB4EEE">
      <w:r>
        <w:t>Consistent with the guidance of the World Meteorological Organisation</w:t>
      </w:r>
      <w:r w:rsidR="6491AA55">
        <w:t xml:space="preserve"> (WMO)</w:t>
      </w:r>
      <w:r>
        <w:t xml:space="preserve">, the Bureau is reviewing its warning services to ensure they deliver on the </w:t>
      </w:r>
      <w:r w:rsidR="6491AA55">
        <w:t xml:space="preserve">organisation's </w:t>
      </w:r>
      <w:r>
        <w:t>strategic objectives to understand and meet customer needs and to amplify its outreach to the public sector, industry, and the community (</w:t>
      </w:r>
      <w:r w:rsidR="6491AA55">
        <w:t xml:space="preserve">BOM </w:t>
      </w:r>
      <w:r>
        <w:t>2017).</w:t>
      </w:r>
    </w:p>
    <w:p w14:paraId="64F44169" w14:textId="12CA6BFF" w:rsidR="005B5C26" w:rsidRDefault="7B60CC16" w:rsidP="00FB4EEE">
      <w:r>
        <w:t xml:space="preserve">As part of the Bureau's </w:t>
      </w:r>
      <w:r w:rsidR="6491AA55">
        <w:t>3</w:t>
      </w:r>
      <w:r>
        <w:t xml:space="preserve">-year program to strengthen its public services, the </w:t>
      </w:r>
      <w:r w:rsidR="6491AA55">
        <w:t xml:space="preserve">organisation </w:t>
      </w:r>
      <w:r>
        <w:t>has committed to contributing to zero lives lost due to natural hazards and contributing $2 billion in added social and economic value to the Australian community (</w:t>
      </w:r>
      <w:r w:rsidR="6491AA55">
        <w:t xml:space="preserve">BOM </w:t>
      </w:r>
      <w:r>
        <w:t xml:space="preserve">2019). </w:t>
      </w:r>
      <w:r w:rsidR="67F5D4DA">
        <w:t>Under the program, the Bureau completed a trial</w:t>
      </w:r>
      <w:r w:rsidR="5536B082">
        <w:t xml:space="preserve"> during the 2021–22 severe weather season</w:t>
      </w:r>
      <w:r w:rsidR="67F5D4DA">
        <w:t xml:space="preserve"> which involved issuing warnings for severe and extreme heatwaves to partner agencies. </w:t>
      </w:r>
      <w:r w:rsidR="5536B082">
        <w:t>In October 2022 t</w:t>
      </w:r>
      <w:r w:rsidR="67F5D4DA">
        <w:t xml:space="preserve">hese heatwave warnings went live as part of the Bureau's public weather warning service. </w:t>
      </w:r>
    </w:p>
    <w:p w14:paraId="50948A86" w14:textId="4F6BB8FA" w:rsidR="001445D1" w:rsidRDefault="67F5D4DA" w:rsidP="00FB4EEE">
      <w:r>
        <w:t xml:space="preserve">The program also </w:t>
      </w:r>
      <w:r w:rsidR="5536B082">
        <w:t>includes</w:t>
      </w:r>
      <w:r>
        <w:t xml:space="preserve"> the development of a new weather alerting platform, alongside an upgraded website and mobile app.  </w:t>
      </w:r>
    </w:p>
    <w:p w14:paraId="497E0897" w14:textId="59A29F97" w:rsidR="00FB4EEE" w:rsidRDefault="7B60CC16" w:rsidP="00FB4EEE">
      <w:r>
        <w:t xml:space="preserve">Under the Bureau's Research and Development Plan </w:t>
      </w:r>
      <w:r w:rsidR="5536B082">
        <w:t>2020–</w:t>
      </w:r>
      <w:r w:rsidR="6467B160">
        <w:t>2030,</w:t>
      </w:r>
      <w:r>
        <w:t xml:space="preserve"> the Bureau aims "to create customised impact-based forecasts and warnings when and where it counts" to provide more localised, timely and clear information to Australians (</w:t>
      </w:r>
      <w:r w:rsidR="5536B082">
        <w:t xml:space="preserve">BOM </w:t>
      </w:r>
      <w:r>
        <w:t>2020 p.10).</w:t>
      </w:r>
    </w:p>
    <w:p w14:paraId="031C585C" w14:textId="77777777" w:rsidR="00FB4EEE" w:rsidRDefault="00FB4EEE" w:rsidP="00FB4EEE">
      <w:r>
        <w:t>Recently, the Australia Government announced the formation of the Australian Climate Service (ACS), a collaborative service provided by the Bureau, Geoscience Australia, the Commonwealth Scientific and Industrial Research Organisation (CSIRO) and the Australian Bureau of Statistics (ACS 2021). One ACS deliverable is to develop and implement a National Hazard Impact and Risk Service (NHIRS) with multi-hazard capability. As the development of this project matures, it will inform the broader approach to warnings.</w:t>
      </w:r>
    </w:p>
    <w:p w14:paraId="2CA7DFDE" w14:textId="44B7BF3C" w:rsidR="00FB4EEE" w:rsidRDefault="00FB4EEE" w:rsidP="00FB4EEE">
      <w:r>
        <w:br w:type="page"/>
      </w:r>
    </w:p>
    <w:p w14:paraId="59E08080" w14:textId="77777777" w:rsidR="00FB4EEE" w:rsidRDefault="7B60CC16" w:rsidP="00FB4EEE">
      <w:pPr>
        <w:pStyle w:val="NumberedHeading1"/>
      </w:pPr>
      <w:bookmarkStart w:id="26" w:name="_Toc119931217"/>
      <w:bookmarkStart w:id="27" w:name="_Toc149899479"/>
      <w:bookmarkStart w:id="28" w:name="_Toc149907535"/>
      <w:r>
        <w:lastRenderedPageBreak/>
        <w:t>Delivering Heatwave Warnings</w:t>
      </w:r>
      <w:bookmarkEnd w:id="26"/>
      <w:bookmarkEnd w:id="27"/>
      <w:bookmarkEnd w:id="28"/>
    </w:p>
    <w:p w14:paraId="14AE8A4A" w14:textId="48DBB795" w:rsidR="00FB4EEE" w:rsidRDefault="00FB4EEE" w:rsidP="00FB4EEE">
      <w:r>
        <w:t>Through the National Heatwave Working Group, a parallel approach to delivering warnings has been developed. While this is the agreed approach, the parties will continue to work together to review and strengthen the Framework as approaches to heatwaves develop over time. This will form part of the Framework review process.</w:t>
      </w:r>
    </w:p>
    <w:p w14:paraId="06FBFFEB" w14:textId="222590B3" w:rsidR="00FB4EEE" w:rsidRDefault="7B60CC16" w:rsidP="00FB4EEE">
      <w:r>
        <w:t>Under this approach, the Bureau issues heatwave warnings on its public channels</w:t>
      </w:r>
      <w:r w:rsidR="5536B082">
        <w:t>. The warnings</w:t>
      </w:r>
      <w:r>
        <w:t xml:space="preserve"> include a description of the expected weather, its likely impact and some simple agreed protective action statements. Alongside this, responsible state and territory agencies issue a heatwave warning on their public channels </w:t>
      </w:r>
      <w:r w:rsidR="5536B082">
        <w:t>detailing</w:t>
      </w:r>
      <w:r>
        <w:t xml:space="preserve"> specific protection actions, advice and available supports, including nuanced and targeted messaging aligned with the AWS.</w:t>
      </w:r>
    </w:p>
    <w:p w14:paraId="0C959558" w14:textId="0383E845" w:rsidR="00FB4EEE" w:rsidRDefault="00FB4EEE" w:rsidP="00FB4EEE">
      <w:r>
        <w:t>To support jurisdictional agencies</w:t>
      </w:r>
      <w:r w:rsidR="005B5C26">
        <w:t xml:space="preserve"> in their planning and response to heatwaves</w:t>
      </w:r>
      <w:r>
        <w:t>, the Bureau publishes an agency-only 7-day forecast product, the Heatwave Decision Support Product. The interaction between the Bureau and state and territory warnings and other Bureau products is shown below.</w:t>
      </w:r>
    </w:p>
    <w:p w14:paraId="618F0292" w14:textId="77777777" w:rsidR="00FB4EEE" w:rsidRDefault="7B60CC16" w:rsidP="00FB4EEE">
      <w:pPr>
        <w:keepNext/>
      </w:pPr>
      <w:r>
        <w:rPr>
          <w:noProof/>
        </w:rPr>
        <w:drawing>
          <wp:inline distT="0" distB="0" distL="0" distR="0" wp14:anchorId="3D9E95BC" wp14:editId="65260996">
            <wp:extent cx="5516882" cy="3000375"/>
            <wp:effectExtent l="0" t="0" r="7620" b="9525"/>
            <wp:docPr id="8" name="Picture 7" descr="Timeline showing the how the Bureau issues heatwave warnings and how states and territory governments issue heatwave warn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98C60098-21FD-4360-A5F3-F70DD7C77D05}"/>
                        </a:ext>
                      </a:extLst>
                    </a:blip>
                    <a:stretch>
                      <a:fillRect/>
                    </a:stretch>
                  </pic:blipFill>
                  <pic:spPr>
                    <a:xfrm>
                      <a:off x="0" y="0"/>
                      <a:ext cx="5516882" cy="3000375"/>
                    </a:xfrm>
                    <a:prstGeom prst="rect">
                      <a:avLst/>
                    </a:prstGeom>
                  </pic:spPr>
                </pic:pic>
              </a:graphicData>
            </a:graphic>
          </wp:inline>
        </w:drawing>
      </w:r>
    </w:p>
    <w:p w14:paraId="46627E52" w14:textId="77777777" w:rsidR="00FB4EEE" w:rsidRDefault="7B60CC16" w:rsidP="00FB4EEE">
      <w:pPr>
        <w:pStyle w:val="Caption"/>
      </w:pPr>
      <w:bookmarkStart w:id="29" w:name="_Toc119931282"/>
      <w:r>
        <w:t xml:space="preserve">Figure </w:t>
      </w:r>
      <w:r w:rsidR="00FB4EEE">
        <w:fldChar w:fldCharType="begin"/>
      </w:r>
      <w:r w:rsidR="00FB4EEE">
        <w:instrText>SEQ Figure \* ARABIC</w:instrText>
      </w:r>
      <w:r w:rsidR="00FB4EEE">
        <w:fldChar w:fldCharType="separate"/>
      </w:r>
      <w:r>
        <w:t>2</w:t>
      </w:r>
      <w:r w:rsidR="00FB4EEE">
        <w:fldChar w:fldCharType="end"/>
      </w:r>
      <w:r>
        <w:t>: Interaction between the Bureau of Meteorology and State and Territory Warnings</w:t>
      </w:r>
      <w:bookmarkEnd w:id="29"/>
    </w:p>
    <w:p w14:paraId="4B94DD1D" w14:textId="77777777" w:rsidR="00FB4EEE" w:rsidRDefault="7B60CC16" w:rsidP="00FB4EEE">
      <w:pPr>
        <w:pStyle w:val="NumberedHeading2"/>
      </w:pPr>
      <w:bookmarkStart w:id="30" w:name="_Toc119931218"/>
      <w:bookmarkStart w:id="31" w:name="_Toc149899480"/>
      <w:bookmarkStart w:id="32" w:name="_Toc149907536"/>
      <w:r>
        <w:t>Standards and Definitions</w:t>
      </w:r>
      <w:bookmarkEnd w:id="30"/>
      <w:bookmarkEnd w:id="31"/>
      <w:bookmarkEnd w:id="32"/>
    </w:p>
    <w:p w14:paraId="28F38CC2" w14:textId="77777777" w:rsidR="00FB4EEE" w:rsidRDefault="7B60CC16" w:rsidP="00FB4EEE">
      <w:pPr>
        <w:pStyle w:val="NumberedHeading3"/>
      </w:pPr>
      <w:bookmarkStart w:id="33" w:name="_Toc119931219"/>
      <w:bookmarkStart w:id="34" w:name="_Toc149899481"/>
      <w:bookmarkStart w:id="35" w:name="_Toc149907537"/>
      <w:r>
        <w:t>Framework review</w:t>
      </w:r>
      <w:bookmarkEnd w:id="33"/>
      <w:bookmarkEnd w:id="34"/>
      <w:bookmarkEnd w:id="35"/>
    </w:p>
    <w:p w14:paraId="226BC58C" w14:textId="24790584" w:rsidR="00FB4EEE" w:rsidRDefault="7B60CC16" w:rsidP="00FB4EEE">
      <w:r>
        <w:t>This Framework will be reviewed by agencies every 5 years to ensure it reflects current best practice. The Bureau and Emergency Management Australia will design and lead the evaluation process and seek input from relevant government and non-government agencies. Additional updates to the Framework may be made in response to significant advancements in forecasting science, forecasting, or warning practice, or health and emergency response practices. The forecasting and warning of 'spike days'</w:t>
      </w:r>
      <w:r w:rsidR="44B2E7AA">
        <w:t>,</w:t>
      </w:r>
      <w:r>
        <w:t xml:space="preserve"> single days of extreme heat</w:t>
      </w:r>
      <w:r w:rsidR="44B2E7AA">
        <w:t>,</w:t>
      </w:r>
      <w:r>
        <w:t xml:space="preserve"> has been identified as one area for future focus.</w:t>
      </w:r>
    </w:p>
    <w:p w14:paraId="1B8641E3" w14:textId="77777777" w:rsidR="00FB4EEE" w:rsidRDefault="7B60CC16" w:rsidP="00FB4EEE">
      <w:pPr>
        <w:pStyle w:val="NumberedHeading3"/>
      </w:pPr>
      <w:bookmarkStart w:id="36" w:name="_Toc119931220"/>
      <w:bookmarkStart w:id="37" w:name="_Toc149899482"/>
      <w:bookmarkStart w:id="38" w:name="_Toc149907538"/>
      <w:r>
        <w:lastRenderedPageBreak/>
        <w:t>Defining heatwaves</w:t>
      </w:r>
      <w:bookmarkEnd w:id="36"/>
      <w:bookmarkEnd w:id="37"/>
      <w:bookmarkEnd w:id="38"/>
    </w:p>
    <w:p w14:paraId="089A5385" w14:textId="51D5647B" w:rsidR="00FB4EEE" w:rsidRDefault="00FB4EEE" w:rsidP="00FB4EEE">
      <w:r>
        <w:t>For a heatwave definition to be applied nationally it needs to meet the following criteria:</w:t>
      </w:r>
    </w:p>
    <w:p w14:paraId="2382D5AF" w14:textId="77777777" w:rsidR="00FB4EEE" w:rsidRDefault="7B60CC16" w:rsidP="00FB4EEE">
      <w:pPr>
        <w:pStyle w:val="ListBullet"/>
      </w:pPr>
      <w:r>
        <w:t>can be easily measured and repeated</w:t>
      </w:r>
    </w:p>
    <w:p w14:paraId="6D4C4F2C" w14:textId="77777777" w:rsidR="00FB4EEE" w:rsidRDefault="7B60CC16" w:rsidP="00FB4EEE">
      <w:pPr>
        <w:pStyle w:val="ListBullet"/>
      </w:pPr>
      <w:r>
        <w:t>can be applied consistently across Australia</w:t>
      </w:r>
    </w:p>
    <w:p w14:paraId="23863875" w14:textId="77777777" w:rsidR="00FB4EEE" w:rsidRDefault="7B60CC16" w:rsidP="00FB4EEE">
      <w:pPr>
        <w:pStyle w:val="ListBullet"/>
      </w:pPr>
      <w:r>
        <w:t>can be applied to past analysis and future projections</w:t>
      </w:r>
    </w:p>
    <w:p w14:paraId="6F30A283" w14:textId="77777777" w:rsidR="00FB4EEE" w:rsidRDefault="7B60CC16" w:rsidP="00FB4EEE">
      <w:pPr>
        <w:pStyle w:val="ListBullet"/>
      </w:pPr>
      <w:r>
        <w:t>can be useful as an indicator of impact</w:t>
      </w:r>
    </w:p>
    <w:p w14:paraId="37D77CC4" w14:textId="77777777" w:rsidR="00FB4EEE" w:rsidRDefault="7B60CC16" w:rsidP="00FB4EEE">
      <w:pPr>
        <w:pStyle w:val="ListBullet"/>
      </w:pPr>
      <w:r>
        <w:t>can support emergency management and health frameworks.</w:t>
      </w:r>
    </w:p>
    <w:p w14:paraId="60DA4ABC" w14:textId="77777777" w:rsidR="00FB4EEE" w:rsidRDefault="00FB4EEE" w:rsidP="0055334E">
      <w:pPr>
        <w:spacing w:before="120"/>
      </w:pPr>
      <w:r>
        <w:t>The Bureau defines a heatwave as:</w:t>
      </w:r>
    </w:p>
    <w:p w14:paraId="3171FED7" w14:textId="77777777" w:rsidR="00FB4EEE" w:rsidRPr="00815FDA" w:rsidRDefault="7B60CC16" w:rsidP="0055334E">
      <w:pPr>
        <w:ind w:left="284"/>
        <w:rPr>
          <w:rStyle w:val="Emphasis"/>
        </w:rPr>
      </w:pPr>
      <w:r w:rsidRPr="674B62DA">
        <w:rPr>
          <w:rStyle w:val="Emphasis"/>
        </w:rPr>
        <w:t>Three days or more of high maximum and minimum temperatures, that are unusual for that location.</w:t>
      </w:r>
    </w:p>
    <w:p w14:paraId="7D4A5133" w14:textId="77777777" w:rsidR="00FB4EEE" w:rsidRDefault="7B60CC16" w:rsidP="00FB4EEE">
      <w:r>
        <w:t>Minimum temperatures are included in the definition because, when nighttime temperatures remain high, health risks increase as the temperature drop may not be sufficient for people who have been exposed to extreme heat all day to recover (Healthline 2016).</w:t>
      </w:r>
    </w:p>
    <w:p w14:paraId="2719FC3A" w14:textId="77CBC118" w:rsidR="00FB4EEE" w:rsidRDefault="7B60CC16" w:rsidP="00FB4EEE">
      <w:r>
        <w:t>The Bureau issues heatwave warnings at weather district level, including Excess Heat Factor (EHF) severity levels and general safety advice. The Bureau warning has a threshold of 10</w:t>
      </w:r>
      <w:r w:rsidR="41B7F7FB">
        <w:t>% of</w:t>
      </w:r>
      <w:r>
        <w:t xml:space="preserve"> the weather district being affected, in alignment with Bureau warnings for fire weather and severe thunderstorms. Bureau weather districts can encompass a range of local communities and conditions; accordingly, the Heatwave Decision Support Products provide more granular information, including town level forecasts.</w:t>
      </w:r>
    </w:p>
    <w:p w14:paraId="2AEE09B9" w14:textId="345915DA" w:rsidR="00FB4EEE" w:rsidRDefault="00FB4EEE" w:rsidP="00FB4EEE">
      <w:r>
        <w:t>The Bureau's heatwave warning can be issued with several days lead time, allowing state and territory governments</w:t>
      </w:r>
      <w:r w:rsidR="002E6A63">
        <w:t xml:space="preserve"> time</w:t>
      </w:r>
      <w:r>
        <w:t xml:space="preserve"> to issue heatwave warnings aligned with the AWS, which may include more targeted or nuanced messaging to vulnerable communities and stakeholders.</w:t>
      </w:r>
    </w:p>
    <w:p w14:paraId="08F7D115" w14:textId="77777777" w:rsidR="00FB4EEE" w:rsidRDefault="7B60CC16" w:rsidP="00FB4EEE">
      <w:pPr>
        <w:pStyle w:val="NumberedHeading3"/>
      </w:pPr>
      <w:bookmarkStart w:id="39" w:name="_Toc119931221"/>
      <w:bookmarkStart w:id="40" w:name="_Toc149899483"/>
      <w:bookmarkStart w:id="41" w:name="_Toc149907539"/>
      <w:r>
        <w:t>Excess Heat Factor</w:t>
      </w:r>
      <w:bookmarkEnd w:id="39"/>
      <w:bookmarkEnd w:id="40"/>
      <w:bookmarkEnd w:id="41"/>
    </w:p>
    <w:p w14:paraId="261CC20F" w14:textId="02178C26" w:rsidR="00FB4EEE" w:rsidRDefault="7B60CC16" w:rsidP="00FB4EEE">
      <w:r>
        <w:t xml:space="preserve">The Bureau has developed, tested and made operational a measure of heatwave severity, the </w:t>
      </w:r>
      <w:r w:rsidR="18CC40ED">
        <w:t xml:space="preserve">Excess Heat Factor (EHF) </w:t>
      </w:r>
      <w:r>
        <w:t>(Nairn and Fawcett 2013). The EHF provides a robust exposure index that scales well against human health impacts in Australia for both city and regional communities (Langlois et al. 2013, Scalley et al. 2015).</w:t>
      </w:r>
    </w:p>
    <w:p w14:paraId="384D9277" w14:textId="5C683AD6" w:rsidR="00FB4EEE" w:rsidRDefault="00FB4EEE" w:rsidP="00FB4EEE">
      <w:r>
        <w:t xml:space="preserve">The EHF uses </w:t>
      </w:r>
      <w:r w:rsidR="002E6A63">
        <w:t xml:space="preserve">2 </w:t>
      </w:r>
      <w:r>
        <w:t>excess heat anomalies, based on the long-term climate record and short-term comparison. Using the EHF, heatwaves are calculated using the forecast maximum and minimum temperatures over the next three days. This information is compared to actual temperatures over the previous 30 days, and the long-term climate record for what should be considered hot at the location at that time (Nairn and Fawcett 2013).</w:t>
      </w:r>
    </w:p>
    <w:p w14:paraId="12F8B0FB" w14:textId="77777777" w:rsidR="00FB4EEE" w:rsidRDefault="7B60CC16" w:rsidP="00FB4EEE">
      <w:r>
        <w:t>The EHF calculation also considers people's ability to adapt to and recover from heat. For example, the same high temperature will be felt differently by residents in Perth compared to those in Hobart, who may not be used to the higher range of temperatures experienced in Perth (Nairn and Fawcett 2013).</w:t>
      </w:r>
    </w:p>
    <w:p w14:paraId="69AA472D" w14:textId="25A61AF3" w:rsidR="00FB4EEE" w:rsidRDefault="7B60CC16" w:rsidP="00FB4EEE">
      <w:r>
        <w:t xml:space="preserve">Similarly, if there has been a period of relatively cool weather in a location, then a sharp and sustained increase in temperature will be defined as a heatwave. This means that in any one location, temperatures </w:t>
      </w:r>
      <w:r w:rsidR="41B6221E">
        <w:t>meeting</w:t>
      </w:r>
      <w:r>
        <w:t xml:space="preserve"> the criteria for a heatwave at the end of summer will generally be hotter than the temperatures that meet it at the beginning of summer (Nairn and Fawcett 2013).</w:t>
      </w:r>
    </w:p>
    <w:p w14:paraId="447979D1" w14:textId="77777777" w:rsidR="00FB4EEE" w:rsidRDefault="7B60CC16" w:rsidP="00FB4EEE">
      <w:r>
        <w:lastRenderedPageBreak/>
        <w:t>The way EHF is calculated considers the exposure of the population to a heat hazard relative to normal and longer-term conditions for day and night-time temperatures. It has been shown to correlate well with the measurable health impacts of heatwaves (Langlois et al. 2013, Scalley et al. 2015, Williams et al. 2018).</w:t>
      </w:r>
    </w:p>
    <w:p w14:paraId="0343130F" w14:textId="77777777" w:rsidR="00FB4EEE" w:rsidRDefault="7B60CC16" w:rsidP="00FB4EEE">
      <w:r>
        <w:t>The Framework adopts the EHF as the measure of heatwaves nationally for forecasting and Bureau warning purposes. However, because the Framework places responsibility for AWS aligned warnings with state and territory agencies, there remains scope in the Framework for agencies to warn communities about extreme heat, even when the EHF thresholds are not met, should they determine a community need. Alternatively, agencies may choose not to issue an accompanying warning where the EHF is met, and a Bureau warning is issued, if they believe this will not support local community preparedness.</w:t>
      </w:r>
    </w:p>
    <w:p w14:paraId="3F3EC88B" w14:textId="77777777" w:rsidR="00FB4EEE" w:rsidRDefault="00FB4EEE" w:rsidP="00FB4EEE">
      <w:r>
        <w:t>Further detail on the EHF is at Appendix C.</w:t>
      </w:r>
    </w:p>
    <w:p w14:paraId="66A048C6" w14:textId="77777777" w:rsidR="00FB4EEE" w:rsidRDefault="7B60CC16" w:rsidP="00FB4EEE">
      <w:pPr>
        <w:pStyle w:val="NumberedHeading3"/>
      </w:pPr>
      <w:bookmarkStart w:id="42" w:name="_Toc119931222"/>
      <w:bookmarkStart w:id="43" w:name="_Toc149899484"/>
      <w:bookmarkStart w:id="44" w:name="_Toc149907540"/>
      <w:r>
        <w:t>Common Alerting Protocol</w:t>
      </w:r>
      <w:bookmarkEnd w:id="42"/>
      <w:bookmarkEnd w:id="43"/>
      <w:bookmarkEnd w:id="44"/>
    </w:p>
    <w:p w14:paraId="2E14C154" w14:textId="7064AE19" w:rsidR="00FB4EEE" w:rsidRDefault="7B60CC16" w:rsidP="00FB4EEE">
      <w:r>
        <w:t>The Common Alerting Protocol and the Australian profile of it (CAP-AU-STD) is a standardised data exchange format for the encoding of messages for emergencies and hazards, and related warnings, alerts, and associated cancellations. It allows consistent and easy to understand emergency messages to be broadcast across a variety of communication systems and can be used to alert and inform emergency response agencies, media and the general public (AIDR 2018). Message construction and communication under the framework should conform with CAP-AU-STD to allow consistent messaging re-publishing.</w:t>
      </w:r>
    </w:p>
    <w:p w14:paraId="6D496E7B" w14:textId="77777777" w:rsidR="00FB4EEE" w:rsidRDefault="7B60CC16" w:rsidP="00FB4EEE">
      <w:pPr>
        <w:pStyle w:val="NumberedHeading3"/>
      </w:pPr>
      <w:bookmarkStart w:id="45" w:name="_Toc119931223"/>
      <w:bookmarkStart w:id="46" w:name="_Toc149899485"/>
      <w:bookmarkStart w:id="47" w:name="_Toc149907541"/>
      <w:r>
        <w:t>Total Warning System</w:t>
      </w:r>
      <w:bookmarkEnd w:id="45"/>
      <w:bookmarkEnd w:id="46"/>
      <w:bookmarkEnd w:id="47"/>
      <w:r>
        <w:t xml:space="preserve"> </w:t>
      </w:r>
    </w:p>
    <w:p w14:paraId="35206304" w14:textId="6177DC68" w:rsidR="00FB4EEE" w:rsidRDefault="7B60CC16" w:rsidP="00FB4EEE">
      <w:r>
        <w:t xml:space="preserve">The Total Warning System (TWS) is described in the </w:t>
      </w:r>
      <w:hyperlink r:id="rId22">
        <w:r w:rsidRPr="674B62DA">
          <w:rPr>
            <w:rStyle w:val="Hyperlink"/>
          </w:rPr>
          <w:t>Public Information and Warnings Handbook</w:t>
        </w:r>
      </w:hyperlink>
      <w:r>
        <w:t xml:space="preserve"> (AIDR 20</w:t>
      </w:r>
      <w:r w:rsidR="52393793">
        <w:t>21</w:t>
      </w:r>
      <w:r>
        <w:t>). The Handbook presents nationally agreed principles for warning policy and practice and explores the essential elements and discipline of effective public information and warning delivery. The Framework adopts the principles of the TWS and details their application on page 16.</w:t>
      </w:r>
      <w:r w:rsidR="00D9718B">
        <w:t>21</w:t>
      </w:r>
      <w:r w:rsidR="00FB4EEE">
        <w:t>). The Handbook presents nationally agreed principles for warning policy and practice and explores the essential elements and discipline of effective public information and warning delivery. The Framework adopts the principles of the TWS and details their application on page 16.</w:t>
      </w:r>
    </w:p>
    <w:p w14:paraId="36834D85" w14:textId="77777777" w:rsidR="00FB4EEE" w:rsidRDefault="7B60CC16" w:rsidP="00FB4EEE">
      <w:pPr>
        <w:pStyle w:val="NumberedHeading3"/>
      </w:pPr>
      <w:bookmarkStart w:id="48" w:name="_Toc119931224"/>
      <w:bookmarkStart w:id="49" w:name="_Toc149899486"/>
      <w:bookmarkStart w:id="50" w:name="_Toc149907542"/>
      <w:r>
        <w:t>Australian Warning System</w:t>
      </w:r>
      <w:bookmarkEnd w:id="48"/>
      <w:bookmarkEnd w:id="49"/>
      <w:bookmarkEnd w:id="50"/>
    </w:p>
    <w:p w14:paraId="6641C294" w14:textId="0748EFFF" w:rsidR="00FB4EEE" w:rsidRDefault="7B60CC16" w:rsidP="00FB4EEE">
      <w:r>
        <w:t>The AWS is a new national approach to information and warnings for the following hazards: bushfire, flood, storm, tropical cyclone and extreme heat (AIDR 2021). Over time, the implementation of the AWS may be expanded to other associated</w:t>
      </w:r>
      <w:r w:rsidR="41B6221E">
        <w:t>, for example storm tide,</w:t>
      </w:r>
      <w:r>
        <w:t xml:space="preserve"> storm tide) or distinct hazards</w:t>
      </w:r>
      <w:r w:rsidR="41B6221E">
        <w:t>, for example tsunami.</w:t>
      </w:r>
      <w:r>
        <w:t xml:space="preserve"> e.g., tsunami). </w:t>
      </w:r>
    </w:p>
    <w:p w14:paraId="03D28AC0" w14:textId="142BB805" w:rsidR="00FB4EEE" w:rsidRDefault="00FB4EEE" w:rsidP="00FB4EEE">
      <w:r>
        <w:t xml:space="preserve">The AWS has been developed based on community research and input from Australia’s emergency services and hazard management agencies (AIDR 2021). The goal of the AWS is to deliver a more consistent approach to community impact, no matter where you are in the country. It uses a nationally consistent set of hazard icons to show incidents on websites and apps, supported by calls to action at </w:t>
      </w:r>
      <w:r w:rsidR="000C5A2C">
        <w:t xml:space="preserve">3 </w:t>
      </w:r>
      <w:r>
        <w:t>consistent warning levels.</w:t>
      </w:r>
    </w:p>
    <w:p w14:paraId="3F219934" w14:textId="6C3F5C00" w:rsidR="00FB4EEE" w:rsidRDefault="00FB4EEE" w:rsidP="00FB4EEE">
      <w:pPr>
        <w:keepNext/>
      </w:pPr>
      <w:r>
        <w:t xml:space="preserve">The </w:t>
      </w:r>
      <w:r w:rsidR="000C5A2C">
        <w:t xml:space="preserve">3 </w:t>
      </w:r>
      <w:r>
        <w:t>warning levels in the AWS are:</w:t>
      </w:r>
    </w:p>
    <w:p w14:paraId="06FF353D" w14:textId="77777777" w:rsidR="00FB4EEE" w:rsidRDefault="7B60CC16" w:rsidP="00FB4EEE">
      <w:pPr>
        <w:pStyle w:val="ListBullet"/>
      </w:pPr>
      <w:r w:rsidRPr="674B62DA">
        <w:rPr>
          <w:rStyle w:val="Strong"/>
        </w:rPr>
        <w:t>Advice</w:t>
      </w:r>
      <w:r>
        <w:t>: An incident has started. There is no immediate danger. Stay up to date in case the situation changes.</w:t>
      </w:r>
    </w:p>
    <w:p w14:paraId="07AA145E" w14:textId="77777777" w:rsidR="00FB4EEE" w:rsidRDefault="7B60CC16" w:rsidP="00FB4EEE">
      <w:pPr>
        <w:pStyle w:val="ListBullet"/>
      </w:pPr>
      <w:r w:rsidRPr="674B62DA">
        <w:rPr>
          <w:rStyle w:val="Strong"/>
        </w:rPr>
        <w:lastRenderedPageBreak/>
        <w:t>Watch and Act</w:t>
      </w:r>
      <w:r>
        <w:t>: There is a heightened level of threat. Conditions are changing and you need to start taking action now to protect you and your family.</w:t>
      </w:r>
    </w:p>
    <w:p w14:paraId="22DC1E43" w14:textId="77777777" w:rsidR="00FB4EEE" w:rsidRDefault="7B60CC16" w:rsidP="00FB4EEE">
      <w:pPr>
        <w:pStyle w:val="ListBullet"/>
      </w:pPr>
      <w:r w:rsidRPr="674B62DA">
        <w:rPr>
          <w:rStyle w:val="Strong"/>
        </w:rPr>
        <w:t>Emergency Warning</w:t>
      </w:r>
      <w:r>
        <w:t>: An Emergency Warning is the highest level of warning. You may be in danger and need to take action immediately. Any delay now puts your life at risk.</w:t>
      </w:r>
    </w:p>
    <w:p w14:paraId="7181A815" w14:textId="55B95114" w:rsidR="00FB4EEE" w:rsidRDefault="7B60CC16" w:rsidP="00FB4EEE">
      <w:r>
        <w:t xml:space="preserve">Each warning level has a range of action statements to give the community clearer advice about what to do. Action Statements can be used flexibly across all </w:t>
      </w:r>
      <w:r w:rsidR="41B6221E">
        <w:t xml:space="preserve">3 </w:t>
      </w:r>
      <w:r>
        <w:t xml:space="preserve">warning levels and contextualised for each hazard within each state or territory. Additional warning information can be supplied below the AWS warning. </w:t>
      </w:r>
    </w:p>
    <w:p w14:paraId="161A333B" w14:textId="77777777" w:rsidR="00FB4EEE" w:rsidRDefault="7B60CC16" w:rsidP="00FB4EEE">
      <w:r>
        <w:t>Given the AWS relates to community impact warnings, the Framework adopts the AWS as far as practicable. The Framework outlines the application of AWS to heatwaves on page 14. The National Heatwave Working Group (NHWG) has agreed a set of heatwave specific action statements to be carried on Bureau warnings. The jurisdictions will carry the responsibility of applying the AWS to heatwave warnings by providing nuanced action and health advice and messaging as required by local conditions and communities.</w:t>
      </w:r>
    </w:p>
    <w:p w14:paraId="062C0CD1" w14:textId="77777777" w:rsidR="00FB4EEE" w:rsidRDefault="7B60CC16" w:rsidP="00FB4EEE">
      <w:pPr>
        <w:pStyle w:val="NumberedHeading2"/>
      </w:pPr>
      <w:bookmarkStart w:id="51" w:name="_Toc119931225"/>
      <w:bookmarkStart w:id="52" w:name="_Toc149899487"/>
      <w:bookmarkStart w:id="53" w:name="_Toc149907543"/>
      <w:r>
        <w:t>Roles and Responsibilities</w:t>
      </w:r>
      <w:bookmarkEnd w:id="51"/>
      <w:bookmarkEnd w:id="52"/>
      <w:bookmarkEnd w:id="53"/>
      <w:r>
        <w:t xml:space="preserve"> </w:t>
      </w:r>
    </w:p>
    <w:p w14:paraId="62F4721C" w14:textId="77777777" w:rsidR="00FB4EEE" w:rsidRDefault="7B60CC16" w:rsidP="00FB4EEE">
      <w:r>
        <w:t>Through the NHWG, there is support for a nationally consistent heatwave warning message to be produced in each jurisdiction to raise the public awareness of heatwave as a significant health hazard and to encourage protective actions by individuals and the community.</w:t>
      </w:r>
    </w:p>
    <w:p w14:paraId="56CA8140" w14:textId="77777777" w:rsidR="00FB4EEE" w:rsidRDefault="7B60CC16" w:rsidP="00FB4EEE">
      <w:pPr>
        <w:pStyle w:val="NumberedHeading3"/>
      </w:pPr>
      <w:bookmarkStart w:id="54" w:name="_Toc119931226"/>
      <w:bookmarkStart w:id="55" w:name="_Toc149899488"/>
      <w:bookmarkStart w:id="56" w:name="_Toc149907544"/>
      <w:r>
        <w:t>Commonwealth</w:t>
      </w:r>
      <w:bookmarkEnd w:id="54"/>
      <w:bookmarkEnd w:id="55"/>
      <w:bookmarkEnd w:id="56"/>
    </w:p>
    <w:p w14:paraId="31CD4F5D" w14:textId="77777777" w:rsidR="00FB4EEE" w:rsidRDefault="00FB4EEE" w:rsidP="00FB4EEE">
      <w:r>
        <w:t>The Bureau is the Commonwealth Government agency responsible for the provision of weather forecasting and climate data across Australia.</w:t>
      </w:r>
    </w:p>
    <w:p w14:paraId="2C6A77D5" w14:textId="77777777" w:rsidR="00FB4EEE" w:rsidRDefault="7B60CC16" w:rsidP="00FB4EEE">
      <w:r w:rsidRPr="674B62DA">
        <w:rPr>
          <w:i/>
          <w:iCs/>
        </w:rPr>
        <w:t>The Meteorology Act 1955</w:t>
      </w:r>
      <w:r>
        <w:t xml:space="preserve"> (C'th) describes the functions of the Bureau to include promoting the use of meteorological information, forecasting weather and the issuing of warnings of gales, storms and other weather conditions likely to endanger life or property.</w:t>
      </w:r>
    </w:p>
    <w:p w14:paraId="0B83E014" w14:textId="428DF91B" w:rsidR="00FB4EEE" w:rsidRDefault="7B60CC16" w:rsidP="00FB4EEE">
      <w:r>
        <w:t xml:space="preserve">The Bureau currently provides a Heatwave Service which generally operates between the start of October and the end of March each year and a Heatwave Decision Support Product for health and emergency service agencies. The Heatwave Service provides information about heatwave severity, including a national </w:t>
      </w:r>
      <w:r w:rsidR="7168D9DE">
        <w:t>7</w:t>
      </w:r>
      <w:r w:rsidR="7168D9DE" w:rsidRPr="674B62DA">
        <w:rPr>
          <w:rFonts w:cs="Arial"/>
        </w:rPr>
        <w:t>–</w:t>
      </w:r>
      <w:r w:rsidR="7168D9DE">
        <w:t>day</w:t>
      </w:r>
      <w:r>
        <w:t xml:space="preserve"> Heatwave Forecast and is publicly available. The Decision Support Product is a geographically detailed 7</w:t>
      </w:r>
      <w:r w:rsidR="7168D9DE" w:rsidRPr="674B62DA">
        <w:rPr>
          <w:rFonts w:cs="Arial"/>
        </w:rPr>
        <w:t>–</w:t>
      </w:r>
      <w:r>
        <w:t>day forecast product to support agency planning. From 1 December 2021, the Bureau ran a one-season trial of a Heatwave Warning, delivered directly to agencies only.</w:t>
      </w:r>
    </w:p>
    <w:p w14:paraId="5D380D7F" w14:textId="77777777" w:rsidR="00FB4EEE" w:rsidRDefault="7B60CC16" w:rsidP="00FB4EEE">
      <w:r>
        <w:t xml:space="preserve">Under this Framework, the Bureau will provide meteorological information, data and forecasts in a uniform manner, using the EHF as the metric for defining heatwaves. </w:t>
      </w:r>
    </w:p>
    <w:p w14:paraId="4A6A9DBF" w14:textId="77777777" w:rsidR="00FB4EEE" w:rsidRDefault="7B60CC16" w:rsidP="00FB4EEE">
      <w:pPr>
        <w:pStyle w:val="NumberedHeading3"/>
      </w:pPr>
      <w:bookmarkStart w:id="57" w:name="_Toc119931227"/>
      <w:bookmarkStart w:id="58" w:name="_Toc149899489"/>
      <w:bookmarkStart w:id="59" w:name="_Toc149907545"/>
      <w:r>
        <w:t>States and territories</w:t>
      </w:r>
      <w:bookmarkEnd w:id="57"/>
      <w:bookmarkEnd w:id="58"/>
      <w:bookmarkEnd w:id="59"/>
    </w:p>
    <w:p w14:paraId="773295B4" w14:textId="77777777" w:rsidR="00FB4EEE" w:rsidRDefault="7B60CC16" w:rsidP="00FB4EEE">
      <w:r>
        <w:t xml:space="preserve">Under Australian constitutional arrangements, state and territory governments have primary responsibility for the protection of life, property and the environment, and to make relevant decisions affecting these areas of responsibility (AIDR 2019). </w:t>
      </w:r>
    </w:p>
    <w:p w14:paraId="6AA61B1D" w14:textId="4AD98C62" w:rsidR="00FB4EEE" w:rsidRDefault="7B60CC16" w:rsidP="00FB4EEE">
      <w:r>
        <w:t xml:space="preserve">Most states and territories develop and maintain heatwave plans with associated communication strategies and arrangements. Plans rely on strong cooperative, coordinated and consultative </w:t>
      </w:r>
      <w:r>
        <w:lastRenderedPageBreak/>
        <w:t>relationships among state and territory government departments and agencies, local governments and other specialist organisations or key stakeholders.</w:t>
      </w:r>
    </w:p>
    <w:p w14:paraId="016B2A24" w14:textId="77777777" w:rsidR="00FB4EEE" w:rsidRDefault="00FB4EEE" w:rsidP="00FB4EEE">
      <w:r>
        <w:t>Ideally, state and territory plans should include:</w:t>
      </w:r>
    </w:p>
    <w:p w14:paraId="073C4B33" w14:textId="77777777" w:rsidR="00FB4EEE" w:rsidRDefault="7B60CC16" w:rsidP="00FB4EEE">
      <w:pPr>
        <w:pStyle w:val="ListBullet"/>
      </w:pPr>
      <w:r>
        <w:t>The strategic priorities for the preparation, response and recovery from heatwaves within their boundaries, including heatwave management and coordination arrangements.</w:t>
      </w:r>
    </w:p>
    <w:p w14:paraId="2F1D85C6" w14:textId="16EB6452" w:rsidR="00FB4EEE" w:rsidRDefault="7B60CC16" w:rsidP="00FB4EEE">
      <w:pPr>
        <w:pStyle w:val="ListBullet"/>
      </w:pPr>
      <w:r>
        <w:t xml:space="preserve">The roles and responsibilities of agencies and organisations </w:t>
      </w:r>
      <w:r w:rsidR="7168D9DE">
        <w:t>impacting</w:t>
      </w:r>
      <w:r>
        <w:t xml:space="preserve"> the management of heatwave events – potential agencies that may have a role in responding to or mitigating the impacts of heatwaves are at Appendix D.</w:t>
      </w:r>
    </w:p>
    <w:p w14:paraId="1AA1BC49" w14:textId="77777777" w:rsidR="00FB4EEE" w:rsidRDefault="7B60CC16" w:rsidP="00FB4EEE">
      <w:pPr>
        <w:pStyle w:val="ListBullet"/>
      </w:pPr>
      <w:r>
        <w:t>Triggers and alerts for actions for agencies and stakeholders, with associated communication strategies and arrangements.</w:t>
      </w:r>
    </w:p>
    <w:p w14:paraId="49C0F2F4" w14:textId="77777777" w:rsidR="00FB4EEE" w:rsidRDefault="00FB4EEE" w:rsidP="00FB4EEE">
      <w:r>
        <w:t>Under this Framework, states and territories have discretion to issue warnings or information in line with their relevant heat health or heat management plans or arrangements.</w:t>
      </w:r>
    </w:p>
    <w:p w14:paraId="7EC2CE51" w14:textId="77777777" w:rsidR="00FB4EEE" w:rsidRDefault="00FB4EEE" w:rsidP="00FB4EEE">
      <w:pPr>
        <w:sectPr w:rsidR="00FB4EEE" w:rsidSect="00A41BD0">
          <w:headerReference w:type="even" r:id="rId23"/>
          <w:headerReference w:type="default" r:id="rId24"/>
          <w:footerReference w:type="even" r:id="rId25"/>
          <w:footerReference w:type="default" r:id="rId26"/>
          <w:headerReference w:type="first" r:id="rId27"/>
          <w:footerReference w:type="first" r:id="rId28"/>
          <w:pgSz w:w="11906" w:h="16838"/>
          <w:pgMar w:top="1666" w:right="1134" w:bottom="1418" w:left="1134" w:header="709" w:footer="793" w:gutter="0"/>
          <w:cols w:space="708"/>
          <w:titlePg/>
          <w:docGrid w:linePitch="360"/>
        </w:sectPr>
      </w:pPr>
    </w:p>
    <w:p w14:paraId="7ADE15B8" w14:textId="77777777" w:rsidR="00FB4EEE" w:rsidRDefault="7B60CC16" w:rsidP="00FB4EEE">
      <w:pPr>
        <w:pStyle w:val="NumberedHeading1"/>
      </w:pPr>
      <w:bookmarkStart w:id="60" w:name="_Toc119931228"/>
      <w:bookmarkStart w:id="61" w:name="_Toc149899490"/>
      <w:bookmarkStart w:id="62" w:name="_Toc149907546"/>
      <w:r>
        <w:lastRenderedPageBreak/>
        <w:t>Australian Warning System: Heatwave Application</w:t>
      </w:r>
      <w:bookmarkEnd w:id="60"/>
      <w:bookmarkEnd w:id="61"/>
      <w:bookmarkEnd w:id="62"/>
    </w:p>
    <w:p w14:paraId="34F4341F" w14:textId="77777777" w:rsidR="00FB4EEE" w:rsidRPr="004E05FD" w:rsidRDefault="7B60CC16" w:rsidP="00FB4EEE">
      <w:pPr>
        <w:pStyle w:val="Tabletitle"/>
      </w:pPr>
      <w:r>
        <w:t>Early advice of a severe or extreme heatwave expected to occur later in the week</w:t>
      </w:r>
    </w:p>
    <w:tbl>
      <w:tblPr>
        <w:tblStyle w:val="TableGrid"/>
        <w:tblW w:w="5000" w:type="pct"/>
        <w:tblLook w:val="04A0" w:firstRow="1" w:lastRow="0" w:firstColumn="1" w:lastColumn="0" w:noHBand="0" w:noVBand="1"/>
      </w:tblPr>
      <w:tblGrid>
        <w:gridCol w:w="1476"/>
        <w:gridCol w:w="1160"/>
        <w:gridCol w:w="3285"/>
        <w:gridCol w:w="4310"/>
        <w:gridCol w:w="1292"/>
        <w:gridCol w:w="2221"/>
      </w:tblGrid>
      <w:tr w:rsidR="00FB4EEE" w:rsidRPr="00F911CC" w14:paraId="4B17D376" w14:textId="77777777" w:rsidTr="674B62DA">
        <w:trPr>
          <w:cnfStyle w:val="100000000000" w:firstRow="1" w:lastRow="0" w:firstColumn="0" w:lastColumn="0" w:oddVBand="0" w:evenVBand="0" w:oddHBand="0" w:evenHBand="0" w:firstRowFirstColumn="0" w:firstRowLastColumn="0" w:lastRowFirstColumn="0" w:lastRowLastColumn="0"/>
          <w:trHeight w:val="484"/>
        </w:trPr>
        <w:tc>
          <w:tcPr>
            <w:tcW w:w="537" w:type="pct"/>
            <w:shd w:val="clear" w:color="auto" w:fill="FFFF66"/>
          </w:tcPr>
          <w:p w14:paraId="178061E8" w14:textId="77777777" w:rsidR="00FB4EEE" w:rsidRPr="00F911CC" w:rsidRDefault="7B60CC16" w:rsidP="004F1B39">
            <w:pPr>
              <w:pStyle w:val="Tableheadingrow"/>
              <w:rPr>
                <w:color w:val="auto"/>
                <w:sz w:val="22"/>
                <w:szCs w:val="22"/>
              </w:rPr>
            </w:pPr>
            <w:r w:rsidRPr="674B62DA">
              <w:rPr>
                <w:color w:val="auto"/>
                <w:sz w:val="22"/>
                <w:szCs w:val="22"/>
              </w:rPr>
              <w:t>EHF trigger level</w:t>
            </w:r>
          </w:p>
        </w:tc>
        <w:tc>
          <w:tcPr>
            <w:tcW w:w="422" w:type="pct"/>
            <w:shd w:val="clear" w:color="auto" w:fill="FFFF66"/>
          </w:tcPr>
          <w:p w14:paraId="3338B030" w14:textId="77777777" w:rsidR="00FB4EEE" w:rsidRPr="00F911CC" w:rsidRDefault="7B60CC16" w:rsidP="004F1B39">
            <w:pPr>
              <w:pStyle w:val="Tableheadingrow"/>
              <w:rPr>
                <w:color w:val="auto"/>
                <w:sz w:val="22"/>
                <w:szCs w:val="22"/>
              </w:rPr>
            </w:pPr>
            <w:r w:rsidRPr="674B62DA">
              <w:rPr>
                <w:color w:val="auto"/>
                <w:sz w:val="22"/>
                <w:szCs w:val="22"/>
              </w:rPr>
              <w:t>Lead time</w:t>
            </w:r>
          </w:p>
        </w:tc>
        <w:tc>
          <w:tcPr>
            <w:tcW w:w="1195" w:type="pct"/>
            <w:shd w:val="clear" w:color="auto" w:fill="FFFF66"/>
          </w:tcPr>
          <w:p w14:paraId="20CBF00A" w14:textId="77777777" w:rsidR="00FB4EEE" w:rsidRPr="00F911CC" w:rsidRDefault="7B60CC16" w:rsidP="004F1B39">
            <w:pPr>
              <w:pStyle w:val="Tableheadingrow"/>
              <w:rPr>
                <w:color w:val="auto"/>
                <w:sz w:val="22"/>
                <w:szCs w:val="22"/>
              </w:rPr>
            </w:pPr>
            <w:r w:rsidRPr="674B62DA">
              <w:rPr>
                <w:color w:val="auto"/>
                <w:sz w:val="22"/>
                <w:szCs w:val="22"/>
              </w:rPr>
              <w:t>Impact</w:t>
            </w:r>
          </w:p>
        </w:tc>
        <w:tc>
          <w:tcPr>
            <w:tcW w:w="1568" w:type="pct"/>
            <w:shd w:val="clear" w:color="auto" w:fill="FFFF66"/>
          </w:tcPr>
          <w:p w14:paraId="4AC477DD" w14:textId="77777777" w:rsidR="00FB4EEE" w:rsidRPr="00F911CC" w:rsidRDefault="7B60CC16" w:rsidP="004F1B39">
            <w:pPr>
              <w:pStyle w:val="Tableheadingrow"/>
              <w:rPr>
                <w:color w:val="auto"/>
                <w:sz w:val="22"/>
                <w:szCs w:val="22"/>
              </w:rPr>
            </w:pPr>
            <w:r w:rsidRPr="674B62DA">
              <w:rPr>
                <w:color w:val="auto"/>
                <w:sz w:val="22"/>
                <w:szCs w:val="22"/>
              </w:rPr>
              <w:t>Bureau warning action statements</w:t>
            </w:r>
          </w:p>
        </w:tc>
        <w:tc>
          <w:tcPr>
            <w:tcW w:w="470" w:type="pct"/>
            <w:shd w:val="clear" w:color="auto" w:fill="FFFF66"/>
          </w:tcPr>
          <w:p w14:paraId="6E373705" w14:textId="77777777" w:rsidR="00FB4EEE" w:rsidRPr="00F911CC" w:rsidRDefault="7B60CC16" w:rsidP="004F1B39">
            <w:pPr>
              <w:pStyle w:val="Tableheadingrow"/>
              <w:rPr>
                <w:color w:val="auto"/>
                <w:sz w:val="22"/>
                <w:szCs w:val="22"/>
              </w:rPr>
            </w:pPr>
            <w:r w:rsidRPr="674B62DA">
              <w:rPr>
                <w:color w:val="auto"/>
                <w:sz w:val="22"/>
                <w:szCs w:val="22"/>
              </w:rPr>
              <w:t>AWS alignment</w:t>
            </w:r>
          </w:p>
        </w:tc>
        <w:tc>
          <w:tcPr>
            <w:tcW w:w="808" w:type="pct"/>
            <w:shd w:val="clear" w:color="auto" w:fill="FFFF66"/>
          </w:tcPr>
          <w:p w14:paraId="57469D92" w14:textId="77777777" w:rsidR="00FB4EEE" w:rsidRPr="00F911CC" w:rsidRDefault="7B60CC16" w:rsidP="004F1B39">
            <w:pPr>
              <w:pStyle w:val="Tableheadingrow"/>
              <w:rPr>
                <w:color w:val="auto"/>
                <w:sz w:val="22"/>
                <w:szCs w:val="22"/>
              </w:rPr>
            </w:pPr>
            <w:r w:rsidRPr="674B62DA">
              <w:rPr>
                <w:color w:val="auto"/>
                <w:sz w:val="22"/>
                <w:szCs w:val="22"/>
              </w:rPr>
              <w:t>Jurisdictional agency response</w:t>
            </w:r>
          </w:p>
        </w:tc>
      </w:tr>
      <w:tr w:rsidR="00FB4EEE" w:rsidRPr="008E72A5" w14:paraId="7CC5F379" w14:textId="77777777" w:rsidTr="674B62DA">
        <w:trPr>
          <w:cnfStyle w:val="000000100000" w:firstRow="0" w:lastRow="0" w:firstColumn="0" w:lastColumn="0" w:oddVBand="0" w:evenVBand="0" w:oddHBand="1" w:evenHBand="0" w:firstRowFirstColumn="0" w:firstRowLastColumn="0" w:lastRowFirstColumn="0" w:lastRowLastColumn="0"/>
          <w:trHeight w:val="20"/>
        </w:trPr>
        <w:tc>
          <w:tcPr>
            <w:tcW w:w="537" w:type="pct"/>
          </w:tcPr>
          <w:p w14:paraId="6C184582" w14:textId="217E934C" w:rsidR="00FB4EEE" w:rsidRPr="00BC26C8" w:rsidRDefault="7B60CC16" w:rsidP="004F1B39">
            <w:pPr>
              <w:pStyle w:val="Tablebodytext"/>
            </w:pPr>
            <w:r>
              <w:t>N</w:t>
            </w:r>
            <w:r w:rsidR="7168D9DE">
              <w:t>/</w:t>
            </w:r>
            <w:r>
              <w:t>A</w:t>
            </w:r>
          </w:p>
        </w:tc>
        <w:tc>
          <w:tcPr>
            <w:tcW w:w="422" w:type="pct"/>
          </w:tcPr>
          <w:p w14:paraId="7A2F7ECA" w14:textId="77777777" w:rsidR="00FB4EEE" w:rsidRPr="00BC26C8" w:rsidRDefault="7B60CC16" w:rsidP="004F1B39">
            <w:pPr>
              <w:pStyle w:val="Tablebodytext"/>
            </w:pPr>
            <w:r>
              <w:t>Prior to event onset</w:t>
            </w:r>
          </w:p>
        </w:tc>
        <w:tc>
          <w:tcPr>
            <w:tcW w:w="1195" w:type="pct"/>
          </w:tcPr>
          <w:p w14:paraId="0B200140" w14:textId="77777777" w:rsidR="00FB4EEE" w:rsidRPr="00BC26C8" w:rsidRDefault="7B60CC16" w:rsidP="004F1B39">
            <w:pPr>
              <w:pStyle w:val="Tablebodytext"/>
            </w:pPr>
            <w:r>
              <w:t>Increased morbidity and mortality for vulnerable groups, such as those over 65, pregnant women, babies, and young children, and those with relevant illnesses or injuries.</w:t>
            </w:r>
          </w:p>
        </w:tc>
        <w:tc>
          <w:tcPr>
            <w:tcW w:w="1568" w:type="pct"/>
          </w:tcPr>
          <w:p w14:paraId="65DC9D15" w14:textId="77777777" w:rsidR="00FB4EEE" w:rsidRDefault="7B60CC16" w:rsidP="004F1B39">
            <w:pPr>
              <w:pStyle w:val="ListBullet"/>
            </w:pPr>
            <w:r>
              <w:t>A heatwave is forecast for your area.</w:t>
            </w:r>
          </w:p>
          <w:p w14:paraId="5B832E9B" w14:textId="77777777" w:rsidR="00FB4EEE" w:rsidRDefault="7B60CC16" w:rsidP="004F1B39">
            <w:pPr>
              <w:pStyle w:val="ListBullet"/>
            </w:pPr>
            <w:r>
              <w:t>Extreme heat can cause illness.</w:t>
            </w:r>
          </w:p>
          <w:p w14:paraId="529FD370" w14:textId="77777777" w:rsidR="00FB4EEE" w:rsidRDefault="7B60CC16" w:rsidP="004F1B39">
            <w:pPr>
              <w:pStyle w:val="ListBullet"/>
            </w:pPr>
            <w:r>
              <w:t>Monitor the weather on the Bureau of Meteorology website or app, and warnings and advice through your state or territory emergency or health service.</w:t>
            </w:r>
          </w:p>
          <w:p w14:paraId="587F5570" w14:textId="77777777" w:rsidR="00FB4EEE" w:rsidRPr="00BC26C8" w:rsidRDefault="7B60CC16" w:rsidP="004F1B39">
            <w:pPr>
              <w:pStyle w:val="ListBullet"/>
            </w:pPr>
            <w:r>
              <w:t>Plan – have a place to keep cool.</w:t>
            </w:r>
          </w:p>
        </w:tc>
        <w:tc>
          <w:tcPr>
            <w:tcW w:w="470" w:type="pct"/>
          </w:tcPr>
          <w:p w14:paraId="27FD9D27" w14:textId="04A502E3" w:rsidR="00FB4EEE" w:rsidRDefault="7B60CC16" w:rsidP="004F1B39">
            <w:pPr>
              <w:pStyle w:val="Tablebodytext"/>
            </w:pPr>
            <w:r>
              <w:t>Advice</w:t>
            </w:r>
            <w:r w:rsidR="00D855CE" w:rsidRPr="00E727E6">
              <w:rPr>
                <w:rFonts w:eastAsia="Calibri" w:cs="Arial"/>
                <w:noProof/>
                <w:sz w:val="20"/>
                <w:szCs w:val="20"/>
                <w:lang w:eastAsia="en-AU"/>
              </w:rPr>
              <w:drawing>
                <wp:inline distT="0" distB="0" distL="0" distR="0" wp14:anchorId="496C74A3" wp14:editId="60C37791">
                  <wp:extent cx="635000" cy="635000"/>
                  <wp:effectExtent l="0" t="0" r="0" b="0"/>
                  <wp:docPr id="319" name="Picture 319" descr="Black sun icon on yellow background in black outlin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Black sun icon on yellow background in black outlined triang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sidR="00FB4EEE">
              <w:rPr>
                <w:rStyle w:val="FootnoteReference"/>
              </w:rPr>
              <w:footnoteReference w:id="1"/>
            </w:r>
          </w:p>
        </w:tc>
        <w:tc>
          <w:tcPr>
            <w:tcW w:w="808" w:type="pct"/>
          </w:tcPr>
          <w:p w14:paraId="4782B77C" w14:textId="74C78968" w:rsidR="00FB4EEE" w:rsidRDefault="7B60CC16" w:rsidP="004F1B39">
            <w:pPr>
              <w:pStyle w:val="Tablebodytext"/>
            </w:pPr>
            <w:r>
              <w:t xml:space="preserve">Consider issuing additional </w:t>
            </w:r>
            <w:r w:rsidR="7168D9DE">
              <w:t>h</w:t>
            </w:r>
            <w:r>
              <w:t xml:space="preserve">eatwave </w:t>
            </w:r>
            <w:r w:rsidR="7168D9DE">
              <w:t>w</w:t>
            </w:r>
            <w:r>
              <w:t xml:space="preserve">arning and/or </w:t>
            </w:r>
            <w:r w:rsidR="7168D9DE">
              <w:t>a</w:t>
            </w:r>
            <w:r>
              <w:t>dvice consistent with heat health planning.</w:t>
            </w:r>
          </w:p>
        </w:tc>
      </w:tr>
    </w:tbl>
    <w:p w14:paraId="4B4F3335" w14:textId="77777777" w:rsidR="00D855CE" w:rsidRPr="00D855CE" w:rsidRDefault="00D855CE">
      <w:pPr>
        <w:rPr>
          <w:sz w:val="10"/>
          <w:szCs w:val="10"/>
        </w:rPr>
      </w:pPr>
    </w:p>
    <w:tbl>
      <w:tblPr>
        <w:tblStyle w:val="TableGrid"/>
        <w:tblW w:w="5000" w:type="pct"/>
        <w:tblLook w:val="04A0" w:firstRow="1" w:lastRow="0" w:firstColumn="1" w:lastColumn="0" w:noHBand="0" w:noVBand="1"/>
      </w:tblPr>
      <w:tblGrid>
        <w:gridCol w:w="13744"/>
      </w:tblGrid>
      <w:tr w:rsidR="00FB4EEE" w:rsidRPr="003F525F" w14:paraId="035B704C" w14:textId="77777777" w:rsidTr="674B62DA">
        <w:trPr>
          <w:cnfStyle w:val="100000000000" w:firstRow="1" w:lastRow="0" w:firstColumn="0" w:lastColumn="0" w:oddVBand="0" w:evenVBand="0" w:oddHBand="0" w:evenHBand="0" w:firstRowFirstColumn="0" w:firstRowLastColumn="0" w:lastRowFirstColumn="0" w:lastRowLastColumn="0"/>
          <w:trHeight w:val="20"/>
        </w:trPr>
        <w:tc>
          <w:tcPr>
            <w:tcW w:w="5000" w:type="pct"/>
            <w:shd w:val="clear" w:color="auto" w:fill="F2F2F2" w:themeFill="background1" w:themeFillShade="F2"/>
          </w:tcPr>
          <w:p w14:paraId="511A6A95" w14:textId="77777777" w:rsidR="00FB4EEE" w:rsidRPr="00D855CE" w:rsidRDefault="7B60CC16" w:rsidP="004F1B39">
            <w:pPr>
              <w:spacing w:after="0"/>
              <w:rPr>
                <w:rStyle w:val="Strong"/>
                <w:color w:val="auto"/>
              </w:rPr>
            </w:pPr>
            <w:r w:rsidRPr="674B62DA">
              <w:rPr>
                <w:rStyle w:val="Strong"/>
                <w:color w:val="auto"/>
              </w:rPr>
              <w:t>Recommended response agency action statements/topic areas</w:t>
            </w:r>
          </w:p>
          <w:p w14:paraId="7D77B941" w14:textId="77777777" w:rsidR="00FB4EEE" w:rsidRPr="00D855CE" w:rsidRDefault="7B60CC16" w:rsidP="004F1B39">
            <w:pPr>
              <w:pStyle w:val="ListBullet"/>
              <w:rPr>
                <w:color w:val="auto"/>
              </w:rPr>
            </w:pPr>
            <w:r w:rsidRPr="674B62DA">
              <w:rPr>
                <w:color w:val="auto"/>
              </w:rPr>
              <w:t>Plan shelter and cool water for pets and other animals.</w:t>
            </w:r>
          </w:p>
          <w:p w14:paraId="750AFEBA" w14:textId="77777777" w:rsidR="00FB4EEE" w:rsidRPr="00D855CE" w:rsidRDefault="7B60CC16" w:rsidP="004F1B39">
            <w:pPr>
              <w:pStyle w:val="ListBullet"/>
              <w:rPr>
                <w:color w:val="auto"/>
              </w:rPr>
            </w:pPr>
            <w:r w:rsidRPr="674B62DA">
              <w:rPr>
                <w:color w:val="auto"/>
              </w:rPr>
              <w:t>Support vulnerable persons to prepare for the heatwave, including elderly neighbours and relatives.</w:t>
            </w:r>
          </w:p>
          <w:p w14:paraId="41DB192F" w14:textId="77777777" w:rsidR="00FB4EEE" w:rsidRPr="00D855CE" w:rsidRDefault="7B60CC16" w:rsidP="004F1B39">
            <w:pPr>
              <w:pStyle w:val="ListBullet"/>
              <w:rPr>
                <w:color w:val="auto"/>
              </w:rPr>
            </w:pPr>
            <w:r w:rsidRPr="674B62DA">
              <w:rPr>
                <w:color w:val="auto"/>
              </w:rPr>
              <w:t>Prepare to stay cool while you sleep – nights can still be hot.</w:t>
            </w:r>
          </w:p>
          <w:p w14:paraId="0D620468" w14:textId="77777777" w:rsidR="00FB4EEE" w:rsidRPr="00D855CE" w:rsidRDefault="7B60CC16" w:rsidP="004F1B39">
            <w:pPr>
              <w:pStyle w:val="ListBullet"/>
              <w:rPr>
                <w:color w:val="auto"/>
              </w:rPr>
            </w:pPr>
            <w:r w:rsidRPr="674B62DA">
              <w:rPr>
                <w:color w:val="auto"/>
              </w:rPr>
              <w:t>Plan your activities to avoid the heat.</w:t>
            </w:r>
          </w:p>
          <w:p w14:paraId="044FC594" w14:textId="77777777" w:rsidR="00FB4EEE" w:rsidRPr="003F525F" w:rsidRDefault="7B60CC16" w:rsidP="004F1B39">
            <w:pPr>
              <w:pStyle w:val="ListBullet"/>
            </w:pPr>
            <w:r w:rsidRPr="674B62DA">
              <w:rPr>
                <w:color w:val="auto"/>
              </w:rPr>
              <w:t>Charge mobile phones and devices in case power supplies are affected.</w:t>
            </w:r>
          </w:p>
        </w:tc>
      </w:tr>
    </w:tbl>
    <w:p w14:paraId="65EFC98E" w14:textId="6CC78883" w:rsidR="00FB4EEE" w:rsidRDefault="7B60CC16" w:rsidP="00FB4EEE">
      <w:pPr>
        <w:pStyle w:val="Caption"/>
      </w:pPr>
      <w:bookmarkStart w:id="63" w:name="_Toc150776936"/>
      <w:r>
        <w:t xml:space="preserve">Table </w:t>
      </w:r>
      <w:r w:rsidR="00FB4EEE">
        <w:fldChar w:fldCharType="begin"/>
      </w:r>
      <w:r w:rsidR="00FB4EEE">
        <w:instrText>SEQ Table \* ARABIC</w:instrText>
      </w:r>
      <w:r w:rsidR="00FB4EEE">
        <w:fldChar w:fldCharType="separate"/>
      </w:r>
      <w:r>
        <w:t>1</w:t>
      </w:r>
      <w:r w:rsidR="00FB4EEE">
        <w:fldChar w:fldCharType="end"/>
      </w:r>
      <w:r>
        <w:t xml:space="preserve">: AWS Heatwave Application </w:t>
      </w:r>
      <w:r w:rsidR="00B96ECC">
        <w:t>–</w:t>
      </w:r>
      <w:r>
        <w:t xml:space="preserve"> Early advice of a severe or extreme heatwave expected to occur later in the week</w:t>
      </w:r>
      <w:bookmarkEnd w:id="63"/>
    </w:p>
    <w:p w14:paraId="5183E91A" w14:textId="77777777" w:rsidR="004333E7" w:rsidRDefault="004333E7" w:rsidP="00FB4EEE">
      <w:pPr>
        <w:pStyle w:val="Tabletitle"/>
      </w:pPr>
    </w:p>
    <w:p w14:paraId="3B144466" w14:textId="53DC9D1B" w:rsidR="00FB4EEE" w:rsidRPr="004E05FD" w:rsidRDefault="7B60CC16" w:rsidP="00FB4EEE">
      <w:pPr>
        <w:pStyle w:val="Tabletitle"/>
      </w:pPr>
      <w:r>
        <w:t>Severe heatwave is imminent or occurring now</w:t>
      </w:r>
    </w:p>
    <w:tbl>
      <w:tblPr>
        <w:tblStyle w:val="TableGrid"/>
        <w:tblW w:w="5000" w:type="pct"/>
        <w:tblLook w:val="04A0" w:firstRow="1" w:lastRow="0" w:firstColumn="1" w:lastColumn="0" w:noHBand="0" w:noVBand="1"/>
      </w:tblPr>
      <w:tblGrid>
        <w:gridCol w:w="1405"/>
        <w:gridCol w:w="1223"/>
        <w:gridCol w:w="2562"/>
        <w:gridCol w:w="5363"/>
        <w:gridCol w:w="1352"/>
        <w:gridCol w:w="1839"/>
      </w:tblGrid>
      <w:tr w:rsidR="00FB4EEE" w:rsidRPr="00F911CC" w14:paraId="5E712896" w14:textId="77777777" w:rsidTr="674B62DA">
        <w:trPr>
          <w:cnfStyle w:val="100000000000" w:firstRow="1" w:lastRow="0" w:firstColumn="0" w:lastColumn="0" w:oddVBand="0" w:evenVBand="0" w:oddHBand="0" w:evenHBand="0" w:firstRowFirstColumn="0" w:firstRowLastColumn="0" w:lastRowFirstColumn="0" w:lastRowLastColumn="0"/>
          <w:trHeight w:val="484"/>
        </w:trPr>
        <w:tc>
          <w:tcPr>
            <w:tcW w:w="511" w:type="pct"/>
            <w:shd w:val="clear" w:color="auto" w:fill="FFC000"/>
          </w:tcPr>
          <w:p w14:paraId="1390C18B" w14:textId="77777777" w:rsidR="00FB4EEE" w:rsidRPr="00F911CC" w:rsidRDefault="7B60CC16" w:rsidP="004F1B39">
            <w:pPr>
              <w:pStyle w:val="Tableheadingrow"/>
              <w:rPr>
                <w:color w:val="auto"/>
                <w:sz w:val="22"/>
                <w:szCs w:val="22"/>
              </w:rPr>
            </w:pPr>
            <w:r w:rsidRPr="674B62DA">
              <w:rPr>
                <w:color w:val="auto"/>
                <w:sz w:val="22"/>
                <w:szCs w:val="22"/>
              </w:rPr>
              <w:t>EHF trigger level</w:t>
            </w:r>
          </w:p>
        </w:tc>
        <w:tc>
          <w:tcPr>
            <w:tcW w:w="445" w:type="pct"/>
            <w:shd w:val="clear" w:color="auto" w:fill="FFC000"/>
          </w:tcPr>
          <w:p w14:paraId="335DA5B9" w14:textId="77777777" w:rsidR="00FB4EEE" w:rsidRPr="00F911CC" w:rsidRDefault="7B60CC16" w:rsidP="004F1B39">
            <w:pPr>
              <w:pStyle w:val="Tableheadingrow"/>
              <w:rPr>
                <w:color w:val="auto"/>
                <w:sz w:val="22"/>
                <w:szCs w:val="22"/>
              </w:rPr>
            </w:pPr>
            <w:r w:rsidRPr="674B62DA">
              <w:rPr>
                <w:color w:val="auto"/>
                <w:sz w:val="22"/>
                <w:szCs w:val="22"/>
              </w:rPr>
              <w:t>Lead time</w:t>
            </w:r>
          </w:p>
        </w:tc>
        <w:tc>
          <w:tcPr>
            <w:tcW w:w="932" w:type="pct"/>
            <w:shd w:val="clear" w:color="auto" w:fill="FFC000"/>
          </w:tcPr>
          <w:p w14:paraId="2AAB74D6" w14:textId="77777777" w:rsidR="00FB4EEE" w:rsidRPr="00F911CC" w:rsidRDefault="7B60CC16" w:rsidP="004F1B39">
            <w:pPr>
              <w:pStyle w:val="Tableheadingrow"/>
              <w:rPr>
                <w:color w:val="auto"/>
                <w:sz w:val="22"/>
                <w:szCs w:val="22"/>
              </w:rPr>
            </w:pPr>
            <w:r w:rsidRPr="674B62DA">
              <w:rPr>
                <w:color w:val="auto"/>
                <w:sz w:val="22"/>
                <w:szCs w:val="22"/>
              </w:rPr>
              <w:t>Impact</w:t>
            </w:r>
          </w:p>
        </w:tc>
        <w:tc>
          <w:tcPr>
            <w:tcW w:w="1951" w:type="pct"/>
            <w:shd w:val="clear" w:color="auto" w:fill="FFC000"/>
          </w:tcPr>
          <w:p w14:paraId="0EAE0C4A" w14:textId="77777777" w:rsidR="00FB4EEE" w:rsidRPr="00F911CC" w:rsidRDefault="7B60CC16" w:rsidP="004F1B39">
            <w:pPr>
              <w:pStyle w:val="Tableheadingrow"/>
              <w:rPr>
                <w:color w:val="auto"/>
                <w:sz w:val="22"/>
                <w:szCs w:val="22"/>
              </w:rPr>
            </w:pPr>
            <w:r w:rsidRPr="674B62DA">
              <w:rPr>
                <w:color w:val="auto"/>
                <w:sz w:val="22"/>
                <w:szCs w:val="22"/>
              </w:rPr>
              <w:t>Bureau warning action statements</w:t>
            </w:r>
          </w:p>
        </w:tc>
        <w:tc>
          <w:tcPr>
            <w:tcW w:w="492" w:type="pct"/>
            <w:shd w:val="clear" w:color="auto" w:fill="FFC000"/>
          </w:tcPr>
          <w:p w14:paraId="461A1E7E" w14:textId="77777777" w:rsidR="00FB4EEE" w:rsidRPr="00F911CC" w:rsidRDefault="7B60CC16" w:rsidP="004F1B39">
            <w:pPr>
              <w:pStyle w:val="Tableheadingrow"/>
              <w:rPr>
                <w:color w:val="auto"/>
                <w:sz w:val="22"/>
                <w:szCs w:val="22"/>
              </w:rPr>
            </w:pPr>
            <w:r w:rsidRPr="674B62DA">
              <w:rPr>
                <w:color w:val="auto"/>
                <w:sz w:val="22"/>
                <w:szCs w:val="22"/>
              </w:rPr>
              <w:t>AWS alignment</w:t>
            </w:r>
          </w:p>
        </w:tc>
        <w:tc>
          <w:tcPr>
            <w:tcW w:w="669" w:type="pct"/>
            <w:shd w:val="clear" w:color="auto" w:fill="FFC000"/>
          </w:tcPr>
          <w:p w14:paraId="731096AC" w14:textId="77777777" w:rsidR="00FB4EEE" w:rsidRPr="00F911CC" w:rsidRDefault="7B60CC16" w:rsidP="004F1B39">
            <w:pPr>
              <w:pStyle w:val="Tableheadingrow"/>
              <w:rPr>
                <w:color w:val="auto"/>
                <w:sz w:val="22"/>
                <w:szCs w:val="22"/>
              </w:rPr>
            </w:pPr>
            <w:r w:rsidRPr="674B62DA">
              <w:rPr>
                <w:color w:val="auto"/>
                <w:sz w:val="22"/>
                <w:szCs w:val="22"/>
              </w:rPr>
              <w:t>Jurisdictional agency response</w:t>
            </w:r>
          </w:p>
        </w:tc>
      </w:tr>
      <w:tr w:rsidR="00FB4EEE" w:rsidRPr="008E72A5" w14:paraId="499425B8" w14:textId="77777777" w:rsidTr="674B62DA">
        <w:trPr>
          <w:cnfStyle w:val="000000100000" w:firstRow="0" w:lastRow="0" w:firstColumn="0" w:lastColumn="0" w:oddVBand="0" w:evenVBand="0" w:oddHBand="1" w:evenHBand="0" w:firstRowFirstColumn="0" w:firstRowLastColumn="0" w:lastRowFirstColumn="0" w:lastRowLastColumn="0"/>
          <w:trHeight w:val="20"/>
        </w:trPr>
        <w:tc>
          <w:tcPr>
            <w:tcW w:w="511" w:type="pct"/>
          </w:tcPr>
          <w:p w14:paraId="362EF61C" w14:textId="77777777" w:rsidR="00FB4EEE" w:rsidRPr="00BC26C8" w:rsidRDefault="7B60CC16" w:rsidP="004F1B39">
            <w:pPr>
              <w:pStyle w:val="Tablebodytext"/>
            </w:pPr>
            <w:r>
              <w:t>&gt;1&lt;3</w:t>
            </w:r>
          </w:p>
        </w:tc>
        <w:tc>
          <w:tcPr>
            <w:tcW w:w="445" w:type="pct"/>
          </w:tcPr>
          <w:p w14:paraId="42A44E10" w14:textId="77777777" w:rsidR="00FB4EEE" w:rsidRPr="00BC26C8" w:rsidRDefault="7B60CC16" w:rsidP="004F1B39">
            <w:pPr>
              <w:pStyle w:val="Tablebodytext"/>
            </w:pPr>
            <w:r>
              <w:t>Imminent or occurring (&lt;1 day)</w:t>
            </w:r>
          </w:p>
        </w:tc>
        <w:tc>
          <w:tcPr>
            <w:tcW w:w="932" w:type="pct"/>
          </w:tcPr>
          <w:p w14:paraId="34539700" w14:textId="25EF4EEC" w:rsidR="00FB4EEE" w:rsidRPr="00BC26C8" w:rsidRDefault="7B60CC16" w:rsidP="004F1B39">
            <w:pPr>
              <w:pStyle w:val="Tablebodytext"/>
            </w:pPr>
            <w:r>
              <w:t>Increased morbidity and mortality for vulnerable groups, such as those over 65, pregnant women, babies, and young children and those with relevant illnesses or injuries.</w:t>
            </w:r>
          </w:p>
        </w:tc>
        <w:tc>
          <w:tcPr>
            <w:tcW w:w="1951" w:type="pct"/>
          </w:tcPr>
          <w:p w14:paraId="05D4B704" w14:textId="77777777" w:rsidR="00FB4EEE" w:rsidRDefault="7B60CC16" w:rsidP="004F1B39">
            <w:pPr>
              <w:pStyle w:val="ListBullet"/>
            </w:pPr>
            <w:r>
              <w:t>Severe heatwaves can be dangerous for many people, especially older people, babies, children, pregnant and breastfeeding women, people with medical conditions and people who are unwell.</w:t>
            </w:r>
          </w:p>
          <w:p w14:paraId="4C7DCA07" w14:textId="77777777" w:rsidR="00FB4EEE" w:rsidRDefault="7B60CC16" w:rsidP="004F1B39">
            <w:pPr>
              <w:pStyle w:val="ListBullet"/>
            </w:pPr>
            <w:r>
              <w:t>Seek a place to keep cool, such as your home, a library, community centre or shopping centre.</w:t>
            </w:r>
          </w:p>
          <w:p w14:paraId="10BC4384" w14:textId="77777777" w:rsidR="00FB4EEE" w:rsidRDefault="7B60CC16" w:rsidP="004F1B39">
            <w:pPr>
              <w:pStyle w:val="ListBullet"/>
            </w:pPr>
            <w:r>
              <w:t>Close your windows and draw blinds, curtains, or awnings early in the day to keep the heat out of your home.</w:t>
            </w:r>
          </w:p>
          <w:p w14:paraId="2176D1AF" w14:textId="77777777" w:rsidR="00FB4EEE" w:rsidRPr="00BC26C8" w:rsidRDefault="7B60CC16" w:rsidP="004F1B39">
            <w:pPr>
              <w:pStyle w:val="ListBullet"/>
            </w:pPr>
            <w:r>
              <w:t>If available, use fans or air-conditioners to keep cool.</w:t>
            </w:r>
          </w:p>
        </w:tc>
        <w:tc>
          <w:tcPr>
            <w:tcW w:w="492" w:type="pct"/>
          </w:tcPr>
          <w:p w14:paraId="6656D8ED" w14:textId="3EE7E821" w:rsidR="00FB4EEE" w:rsidRDefault="7B60CC16" w:rsidP="004F1B39">
            <w:pPr>
              <w:pStyle w:val="Tablebodytext"/>
            </w:pPr>
            <w:r>
              <w:t>Watch and Act</w:t>
            </w:r>
            <w:r w:rsidR="60312D71">
              <w:rPr>
                <w:noProof/>
              </w:rPr>
              <w:drawing>
                <wp:inline distT="0" distB="0" distL="0" distR="0" wp14:anchorId="61C11EFD" wp14:editId="37E446DA">
                  <wp:extent cx="641350" cy="647700"/>
                  <wp:effectExtent l="0" t="0" r="6350" b="0"/>
                  <wp:docPr id="422" name="Picture 422" descr="Black sun icon on orange background in black outlin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1350" cy="647700"/>
                          </a:xfrm>
                          <a:prstGeom prst="rect">
                            <a:avLst/>
                          </a:prstGeom>
                        </pic:spPr>
                      </pic:pic>
                    </a:graphicData>
                  </a:graphic>
                </wp:inline>
              </w:drawing>
            </w:r>
          </w:p>
        </w:tc>
        <w:tc>
          <w:tcPr>
            <w:tcW w:w="669" w:type="pct"/>
          </w:tcPr>
          <w:p w14:paraId="2CCCD856" w14:textId="1AFDDB1B" w:rsidR="00FB4EEE" w:rsidRDefault="7B60CC16" w:rsidP="004F1B39">
            <w:pPr>
              <w:pStyle w:val="Tablebodytext"/>
            </w:pPr>
            <w:r>
              <w:t xml:space="preserve">Consider issuing </w:t>
            </w:r>
            <w:r w:rsidR="7168D9DE">
              <w:t>s</w:t>
            </w:r>
            <w:r>
              <w:t xml:space="preserve">evere </w:t>
            </w:r>
            <w:r w:rsidR="7168D9DE">
              <w:t>h</w:t>
            </w:r>
            <w:r>
              <w:t xml:space="preserve">eatwave </w:t>
            </w:r>
            <w:r w:rsidR="7168D9DE">
              <w:t>w</w:t>
            </w:r>
            <w:r>
              <w:t xml:space="preserve">atch and </w:t>
            </w:r>
            <w:r w:rsidR="7168D9DE">
              <w:t>a</w:t>
            </w:r>
            <w:r>
              <w:t xml:space="preserve">ct </w:t>
            </w:r>
            <w:r w:rsidR="7168D9DE">
              <w:t>w</w:t>
            </w:r>
            <w:r>
              <w:t>arning, consistent with heat health planning.</w:t>
            </w:r>
          </w:p>
        </w:tc>
      </w:tr>
    </w:tbl>
    <w:p w14:paraId="1664C0F9" w14:textId="77777777" w:rsidR="00D855CE" w:rsidRPr="00D855CE" w:rsidRDefault="00D855CE">
      <w:pPr>
        <w:rPr>
          <w:sz w:val="10"/>
          <w:szCs w:val="10"/>
        </w:rPr>
      </w:pPr>
    </w:p>
    <w:tbl>
      <w:tblPr>
        <w:tblStyle w:val="TableGrid"/>
        <w:tblW w:w="5000" w:type="pct"/>
        <w:tblLook w:val="04A0" w:firstRow="1" w:lastRow="0" w:firstColumn="1" w:lastColumn="0" w:noHBand="0" w:noVBand="1"/>
      </w:tblPr>
      <w:tblGrid>
        <w:gridCol w:w="13744"/>
      </w:tblGrid>
      <w:tr w:rsidR="00FB4EEE" w:rsidRPr="003F525F" w14:paraId="28A4FA9F" w14:textId="77777777" w:rsidTr="674B62DA">
        <w:trPr>
          <w:cnfStyle w:val="100000000000" w:firstRow="1" w:lastRow="0" w:firstColumn="0" w:lastColumn="0" w:oddVBand="0" w:evenVBand="0" w:oddHBand="0" w:evenHBand="0" w:firstRowFirstColumn="0" w:firstRowLastColumn="0" w:lastRowFirstColumn="0" w:lastRowLastColumn="0"/>
          <w:trHeight w:val="20"/>
        </w:trPr>
        <w:tc>
          <w:tcPr>
            <w:tcW w:w="5000" w:type="pct"/>
            <w:shd w:val="clear" w:color="auto" w:fill="F2F2F2" w:themeFill="background1" w:themeFillShade="F2"/>
          </w:tcPr>
          <w:p w14:paraId="5377F2D0" w14:textId="77777777" w:rsidR="00FB4EEE" w:rsidRPr="00D855CE" w:rsidRDefault="7B60CC16" w:rsidP="004F1B39">
            <w:pPr>
              <w:spacing w:after="0"/>
              <w:rPr>
                <w:rStyle w:val="Strong"/>
                <w:color w:val="auto"/>
              </w:rPr>
            </w:pPr>
            <w:r w:rsidRPr="674B62DA">
              <w:rPr>
                <w:rStyle w:val="Strong"/>
                <w:color w:val="auto"/>
              </w:rPr>
              <w:t>Recommended response agency action statements/topic areas</w:t>
            </w:r>
          </w:p>
          <w:p w14:paraId="3BAAEFC7" w14:textId="77777777" w:rsidR="00FB4EEE" w:rsidRPr="00D855CE" w:rsidRDefault="7B60CC16" w:rsidP="004F1B39">
            <w:pPr>
              <w:pStyle w:val="ListBullet"/>
              <w:rPr>
                <w:color w:val="auto"/>
              </w:rPr>
            </w:pPr>
            <w:r w:rsidRPr="674B62DA">
              <w:rPr>
                <w:color w:val="auto"/>
              </w:rPr>
              <w:t>Schedule activities in the coolest part of the day and avoid exercising in the heat.</w:t>
            </w:r>
          </w:p>
          <w:p w14:paraId="27BD7372" w14:textId="77777777" w:rsidR="00FB4EEE" w:rsidRPr="00D855CE" w:rsidRDefault="7B60CC16" w:rsidP="004F1B39">
            <w:pPr>
              <w:pStyle w:val="ListBullet"/>
              <w:rPr>
                <w:color w:val="auto"/>
              </w:rPr>
            </w:pPr>
            <w:r w:rsidRPr="674B62DA">
              <w:rPr>
                <w:color w:val="auto"/>
              </w:rPr>
              <w:t>If you must go out, wear a hat and sunscreen and take a bottle of water with you.</w:t>
            </w:r>
          </w:p>
          <w:p w14:paraId="2A02A133" w14:textId="77777777" w:rsidR="00FB4EEE" w:rsidRPr="00D855CE" w:rsidRDefault="7B60CC16" w:rsidP="004F1B39">
            <w:pPr>
              <w:pStyle w:val="ListBullet"/>
              <w:rPr>
                <w:color w:val="auto"/>
              </w:rPr>
            </w:pPr>
            <w:r w:rsidRPr="674B62DA">
              <w:rPr>
                <w:color w:val="auto"/>
              </w:rPr>
              <w:t>Drink water frequently unless your doctor normally limits your fluids.</w:t>
            </w:r>
          </w:p>
          <w:p w14:paraId="41EEF1A0" w14:textId="77777777" w:rsidR="00FB4EEE" w:rsidRPr="00D855CE" w:rsidRDefault="7B60CC16" w:rsidP="004F1B39">
            <w:pPr>
              <w:pStyle w:val="ListBullet"/>
              <w:rPr>
                <w:color w:val="auto"/>
              </w:rPr>
            </w:pPr>
            <w:r w:rsidRPr="674B62DA">
              <w:rPr>
                <w:color w:val="auto"/>
              </w:rPr>
              <w:t>Never leave a person or pet in a car.</w:t>
            </w:r>
          </w:p>
          <w:p w14:paraId="06B867A3" w14:textId="77777777" w:rsidR="00FB4EEE" w:rsidRPr="00D855CE" w:rsidRDefault="7B60CC16" w:rsidP="004F1B39">
            <w:pPr>
              <w:pStyle w:val="ListBullet"/>
              <w:rPr>
                <w:color w:val="auto"/>
              </w:rPr>
            </w:pPr>
            <w:r w:rsidRPr="674B62DA">
              <w:rPr>
                <w:color w:val="auto"/>
              </w:rPr>
              <w:t>Check in regularly with vulnerable persons, including elderly neighbours and relatives.</w:t>
            </w:r>
          </w:p>
          <w:p w14:paraId="6B6C89E4" w14:textId="77777777" w:rsidR="00FB4EEE" w:rsidRPr="00D855CE" w:rsidRDefault="7B60CC16" w:rsidP="004F1B39">
            <w:pPr>
              <w:pStyle w:val="ListBullet"/>
              <w:rPr>
                <w:color w:val="auto"/>
              </w:rPr>
            </w:pPr>
            <w:r w:rsidRPr="674B62DA">
              <w:rPr>
                <w:color w:val="auto"/>
              </w:rPr>
              <w:t>Provide shelter and cool water for pets and other animals.</w:t>
            </w:r>
          </w:p>
          <w:p w14:paraId="3DF2DA14" w14:textId="17CB57CE" w:rsidR="00FB4EEE" w:rsidRPr="00D855CE" w:rsidRDefault="7B60CC16" w:rsidP="004F1B39">
            <w:pPr>
              <w:pStyle w:val="ListBullet"/>
              <w:rPr>
                <w:color w:val="auto"/>
              </w:rPr>
            </w:pPr>
            <w:r w:rsidRPr="674B62DA">
              <w:rPr>
                <w:color w:val="auto"/>
              </w:rPr>
              <w:t>Seek help if you feel unwell from your GP, pharmacist, or Nurse-On-Call. In a life-threatening situation call triple zero (000).</w:t>
            </w:r>
          </w:p>
        </w:tc>
      </w:tr>
    </w:tbl>
    <w:p w14:paraId="243F3421" w14:textId="3CC2C1F9" w:rsidR="00FB4EEE" w:rsidRDefault="7B60CC16" w:rsidP="674B62DA">
      <w:pPr>
        <w:pStyle w:val="Caption"/>
        <w:rPr>
          <w:b/>
          <w:bCs/>
        </w:rPr>
      </w:pPr>
      <w:bookmarkStart w:id="64" w:name="_Toc150776937"/>
      <w:r>
        <w:t xml:space="preserve">Table </w:t>
      </w:r>
      <w:r w:rsidR="00FB4EEE">
        <w:fldChar w:fldCharType="begin"/>
      </w:r>
      <w:r w:rsidR="00FB4EEE">
        <w:instrText>SEQ Table \* ARABIC</w:instrText>
      </w:r>
      <w:r w:rsidR="00FB4EEE">
        <w:fldChar w:fldCharType="separate"/>
      </w:r>
      <w:r>
        <w:t>2</w:t>
      </w:r>
      <w:r w:rsidR="00FB4EEE">
        <w:fldChar w:fldCharType="end"/>
      </w:r>
      <w:r>
        <w:t xml:space="preserve">: AWS Heatwave Application </w:t>
      </w:r>
      <w:r w:rsidR="00B96ECC">
        <w:t>–</w:t>
      </w:r>
      <w:r>
        <w:t xml:space="preserve"> Severe heatwave is imminent or occurring now</w:t>
      </w:r>
      <w:bookmarkEnd w:id="64"/>
      <w:r w:rsidR="00FB4EEE">
        <w:br w:type="page"/>
      </w:r>
    </w:p>
    <w:p w14:paraId="27BF9E85" w14:textId="77777777" w:rsidR="00FB4EEE" w:rsidRPr="004E05FD" w:rsidRDefault="7B60CC16" w:rsidP="00FB4EEE">
      <w:pPr>
        <w:pStyle w:val="Tabletitle"/>
      </w:pPr>
      <w:r>
        <w:lastRenderedPageBreak/>
        <w:t>Extreme heatwave is imminent or occurring now</w:t>
      </w:r>
    </w:p>
    <w:tbl>
      <w:tblPr>
        <w:tblStyle w:val="TableGrid"/>
        <w:tblW w:w="4929" w:type="pct"/>
        <w:tblLook w:val="04A0" w:firstRow="1" w:lastRow="0" w:firstColumn="1" w:lastColumn="0" w:noHBand="0" w:noVBand="1"/>
      </w:tblPr>
      <w:tblGrid>
        <w:gridCol w:w="1406"/>
        <w:gridCol w:w="1225"/>
        <w:gridCol w:w="2572"/>
        <w:gridCol w:w="5108"/>
        <w:gridCol w:w="1403"/>
        <w:gridCol w:w="1835"/>
      </w:tblGrid>
      <w:tr w:rsidR="00FB4EEE" w:rsidRPr="00F911CC" w14:paraId="740B8B2A" w14:textId="77777777" w:rsidTr="674B62DA">
        <w:trPr>
          <w:cnfStyle w:val="100000000000" w:firstRow="1" w:lastRow="0" w:firstColumn="0" w:lastColumn="0" w:oddVBand="0" w:evenVBand="0" w:oddHBand="0" w:evenHBand="0" w:firstRowFirstColumn="0" w:firstRowLastColumn="0" w:lastRowFirstColumn="0" w:lastRowLastColumn="0"/>
          <w:trHeight w:val="484"/>
        </w:trPr>
        <w:tc>
          <w:tcPr>
            <w:tcW w:w="522" w:type="pct"/>
            <w:shd w:val="clear" w:color="auto" w:fill="C00000"/>
          </w:tcPr>
          <w:p w14:paraId="7D31278F" w14:textId="77777777" w:rsidR="00FB4EEE" w:rsidRPr="00F911CC" w:rsidRDefault="7B60CC16" w:rsidP="004F1B39">
            <w:pPr>
              <w:pStyle w:val="Tableheadingrow"/>
              <w:rPr>
                <w:color w:val="auto"/>
                <w:sz w:val="22"/>
                <w:szCs w:val="22"/>
              </w:rPr>
            </w:pPr>
            <w:r w:rsidRPr="674B62DA">
              <w:rPr>
                <w:color w:val="auto"/>
                <w:sz w:val="22"/>
                <w:szCs w:val="22"/>
              </w:rPr>
              <w:t>EHF trigger level</w:t>
            </w:r>
          </w:p>
        </w:tc>
        <w:tc>
          <w:tcPr>
            <w:tcW w:w="455" w:type="pct"/>
            <w:shd w:val="clear" w:color="auto" w:fill="C00000"/>
          </w:tcPr>
          <w:p w14:paraId="61C79195" w14:textId="77777777" w:rsidR="00FB4EEE" w:rsidRPr="00F911CC" w:rsidRDefault="7B60CC16" w:rsidP="004F1B39">
            <w:pPr>
              <w:pStyle w:val="Tableheadingrow"/>
              <w:rPr>
                <w:color w:val="auto"/>
                <w:sz w:val="22"/>
                <w:szCs w:val="22"/>
              </w:rPr>
            </w:pPr>
            <w:r w:rsidRPr="674B62DA">
              <w:rPr>
                <w:color w:val="auto"/>
                <w:sz w:val="22"/>
                <w:szCs w:val="22"/>
              </w:rPr>
              <w:t>Lead time</w:t>
            </w:r>
          </w:p>
        </w:tc>
        <w:tc>
          <w:tcPr>
            <w:tcW w:w="952" w:type="pct"/>
            <w:shd w:val="clear" w:color="auto" w:fill="C00000"/>
          </w:tcPr>
          <w:p w14:paraId="4028EC0D" w14:textId="77777777" w:rsidR="00FB4EEE" w:rsidRPr="00F911CC" w:rsidRDefault="7B60CC16" w:rsidP="004F1B39">
            <w:pPr>
              <w:pStyle w:val="Tableheadingrow"/>
              <w:rPr>
                <w:color w:val="auto"/>
                <w:sz w:val="22"/>
                <w:szCs w:val="22"/>
              </w:rPr>
            </w:pPr>
            <w:r w:rsidRPr="674B62DA">
              <w:rPr>
                <w:color w:val="auto"/>
                <w:sz w:val="22"/>
                <w:szCs w:val="22"/>
              </w:rPr>
              <w:t>Impact</w:t>
            </w:r>
          </w:p>
        </w:tc>
        <w:tc>
          <w:tcPr>
            <w:tcW w:w="1888" w:type="pct"/>
            <w:shd w:val="clear" w:color="auto" w:fill="C00000"/>
          </w:tcPr>
          <w:p w14:paraId="7CF49047" w14:textId="77777777" w:rsidR="00FB4EEE" w:rsidRPr="00F911CC" w:rsidRDefault="7B60CC16" w:rsidP="004F1B39">
            <w:pPr>
              <w:pStyle w:val="Tableheadingrow"/>
              <w:rPr>
                <w:color w:val="auto"/>
                <w:sz w:val="22"/>
                <w:szCs w:val="22"/>
              </w:rPr>
            </w:pPr>
            <w:r w:rsidRPr="674B62DA">
              <w:rPr>
                <w:color w:val="auto"/>
                <w:sz w:val="22"/>
                <w:szCs w:val="22"/>
              </w:rPr>
              <w:t>Bureau warning action statements</w:t>
            </w:r>
          </w:p>
        </w:tc>
        <w:tc>
          <w:tcPr>
            <w:tcW w:w="503" w:type="pct"/>
            <w:shd w:val="clear" w:color="auto" w:fill="C00000"/>
          </w:tcPr>
          <w:p w14:paraId="4D4FE0AA" w14:textId="77777777" w:rsidR="00FB4EEE" w:rsidRPr="00F911CC" w:rsidRDefault="7B60CC16" w:rsidP="004F1B39">
            <w:pPr>
              <w:pStyle w:val="Tableheadingrow"/>
              <w:rPr>
                <w:color w:val="auto"/>
                <w:sz w:val="22"/>
                <w:szCs w:val="22"/>
              </w:rPr>
            </w:pPr>
            <w:r w:rsidRPr="674B62DA">
              <w:rPr>
                <w:color w:val="auto"/>
                <w:sz w:val="22"/>
                <w:szCs w:val="22"/>
              </w:rPr>
              <w:t>AWS alignment</w:t>
            </w:r>
          </w:p>
        </w:tc>
        <w:tc>
          <w:tcPr>
            <w:tcW w:w="681" w:type="pct"/>
            <w:shd w:val="clear" w:color="auto" w:fill="C00000"/>
          </w:tcPr>
          <w:p w14:paraId="0C6AB0C1" w14:textId="77777777" w:rsidR="00FB4EEE" w:rsidRPr="00F911CC" w:rsidRDefault="7B60CC16" w:rsidP="004F1B39">
            <w:pPr>
              <w:pStyle w:val="Tableheadingrow"/>
              <w:rPr>
                <w:color w:val="auto"/>
                <w:sz w:val="22"/>
                <w:szCs w:val="22"/>
              </w:rPr>
            </w:pPr>
            <w:r w:rsidRPr="674B62DA">
              <w:rPr>
                <w:color w:val="auto"/>
                <w:sz w:val="22"/>
                <w:szCs w:val="22"/>
              </w:rPr>
              <w:t>Jurisdictional agency response</w:t>
            </w:r>
          </w:p>
        </w:tc>
      </w:tr>
      <w:tr w:rsidR="00FB4EEE" w:rsidRPr="005B59A8" w14:paraId="006634E2" w14:textId="77777777" w:rsidTr="674B62DA">
        <w:trPr>
          <w:cnfStyle w:val="000000100000" w:firstRow="0" w:lastRow="0" w:firstColumn="0" w:lastColumn="0" w:oddVBand="0" w:evenVBand="0" w:oddHBand="1" w:evenHBand="0" w:firstRowFirstColumn="0" w:firstRowLastColumn="0" w:lastRowFirstColumn="0" w:lastRowLastColumn="0"/>
          <w:trHeight w:val="20"/>
        </w:trPr>
        <w:tc>
          <w:tcPr>
            <w:tcW w:w="522" w:type="pct"/>
          </w:tcPr>
          <w:p w14:paraId="79E6CD28" w14:textId="77777777" w:rsidR="00FB4EEE" w:rsidRPr="0055334E" w:rsidRDefault="7B60CC16" w:rsidP="004F1B39">
            <w:pPr>
              <w:pStyle w:val="Tablebodytext"/>
              <w:rPr>
                <w:sz w:val="24"/>
                <w:szCs w:val="24"/>
              </w:rPr>
            </w:pPr>
            <w:r w:rsidRPr="674B62DA">
              <w:rPr>
                <w:rFonts w:eastAsia="Calibri" w:cs="Arial"/>
              </w:rPr>
              <w:t>&gt;=3</w:t>
            </w:r>
          </w:p>
        </w:tc>
        <w:tc>
          <w:tcPr>
            <w:tcW w:w="455" w:type="pct"/>
          </w:tcPr>
          <w:p w14:paraId="26595DF6" w14:textId="77777777" w:rsidR="00FB4EEE" w:rsidRPr="0055334E" w:rsidRDefault="7B60CC16" w:rsidP="004F1B39">
            <w:pPr>
              <w:pStyle w:val="Tablebodytext"/>
              <w:rPr>
                <w:sz w:val="24"/>
                <w:szCs w:val="24"/>
              </w:rPr>
            </w:pPr>
            <w:r w:rsidRPr="674B62DA">
              <w:rPr>
                <w:rFonts w:eastAsia="Calibri" w:cs="Arial"/>
              </w:rPr>
              <w:t>Imminent or occurring (&lt;1 day)</w:t>
            </w:r>
          </w:p>
        </w:tc>
        <w:tc>
          <w:tcPr>
            <w:tcW w:w="952" w:type="pct"/>
          </w:tcPr>
          <w:p w14:paraId="4D766588" w14:textId="77777777" w:rsidR="00FB4EEE" w:rsidRPr="005B59A8" w:rsidRDefault="7B60CC16" w:rsidP="004F1B39">
            <w:pPr>
              <w:pStyle w:val="ListBullet"/>
            </w:pPr>
            <w:r>
              <w:t>Even healthy people who do not take precautions to keep cool are at risk.</w:t>
            </w:r>
          </w:p>
          <w:p w14:paraId="5221F0F7" w14:textId="1910AE45" w:rsidR="00FB4EEE" w:rsidRPr="005B59A8" w:rsidRDefault="7B60CC16" w:rsidP="004F1B39">
            <w:pPr>
              <w:pStyle w:val="ListBullet"/>
            </w:pPr>
            <w:r>
              <w:t>Normally reliable infrastructure, such as power and transport</w:t>
            </w:r>
            <w:r w:rsidR="7168D9DE">
              <w:t>,</w:t>
            </w:r>
            <w:r>
              <w:t xml:space="preserve"> are at risk of impact at this level.</w:t>
            </w:r>
          </w:p>
        </w:tc>
        <w:tc>
          <w:tcPr>
            <w:tcW w:w="1888" w:type="pct"/>
          </w:tcPr>
          <w:p w14:paraId="7B261668" w14:textId="77777777" w:rsidR="00FB4EEE" w:rsidRPr="005B59A8" w:rsidRDefault="7B60CC16" w:rsidP="004F1B39">
            <w:pPr>
              <w:pStyle w:val="ListBullet"/>
            </w:pPr>
            <w:r>
              <w:t>Extreme heatwaves can be dangerous for everyone.</w:t>
            </w:r>
          </w:p>
          <w:p w14:paraId="7F369C72" w14:textId="6EF427C4" w:rsidR="00FB4EEE" w:rsidRPr="005B59A8" w:rsidRDefault="7B60CC16" w:rsidP="004F1B39">
            <w:pPr>
              <w:pStyle w:val="ListBullet"/>
            </w:pPr>
            <w:r>
              <w:t>Seek a place to keep cool, for example: at home, a library, community centre or shopping centre.</w:t>
            </w:r>
          </w:p>
          <w:p w14:paraId="6D1CCD9A" w14:textId="77777777" w:rsidR="00FB4EEE" w:rsidRPr="005B59A8" w:rsidRDefault="7B60CC16" w:rsidP="004F1B39">
            <w:pPr>
              <w:pStyle w:val="ListBullet"/>
            </w:pPr>
            <w:r>
              <w:t xml:space="preserve">Close your windows and draw blinds, curtains, or awnings early in the day to keep the heat out of your home. </w:t>
            </w:r>
          </w:p>
          <w:p w14:paraId="05088775" w14:textId="77777777" w:rsidR="00FB4EEE" w:rsidRPr="005B59A8" w:rsidRDefault="7B60CC16" w:rsidP="004F1B39">
            <w:pPr>
              <w:pStyle w:val="ListBullet"/>
            </w:pPr>
            <w:r>
              <w:t>If available, use fans or air-conditioners to keep cool.</w:t>
            </w:r>
          </w:p>
        </w:tc>
        <w:tc>
          <w:tcPr>
            <w:tcW w:w="503" w:type="pct"/>
          </w:tcPr>
          <w:p w14:paraId="33414662" w14:textId="77777777" w:rsidR="00FB4EEE" w:rsidRPr="0055334E" w:rsidRDefault="7B60CC16" w:rsidP="674B62DA">
            <w:pPr>
              <w:spacing w:line="259" w:lineRule="auto"/>
              <w:jc w:val="center"/>
              <w:rPr>
                <w:rFonts w:eastAsia="Calibri" w:cs="Arial"/>
                <w:b/>
                <w:bCs/>
              </w:rPr>
            </w:pPr>
            <w:r w:rsidRPr="674B62DA">
              <w:rPr>
                <w:rFonts w:eastAsia="Calibri" w:cs="Arial"/>
                <w:b/>
                <w:bCs/>
              </w:rPr>
              <w:t>Emergency Warning</w:t>
            </w:r>
          </w:p>
          <w:p w14:paraId="6A35DDE3" w14:textId="77777777" w:rsidR="00FB4EEE" w:rsidRPr="0055334E" w:rsidRDefault="7B60CC16" w:rsidP="004F1B39">
            <w:pPr>
              <w:pStyle w:val="Tablebodytext"/>
              <w:rPr>
                <w:sz w:val="24"/>
                <w:szCs w:val="24"/>
              </w:rPr>
            </w:pPr>
            <w:r>
              <w:rPr>
                <w:noProof/>
              </w:rPr>
              <w:drawing>
                <wp:inline distT="0" distB="0" distL="0" distR="0" wp14:anchorId="614D3282" wp14:editId="6192988B">
                  <wp:extent cx="698500" cy="698500"/>
                  <wp:effectExtent l="0" t="0" r="6350" b="6350"/>
                  <wp:docPr id="6" name="Picture 6" descr="White sun icon on red background in black outlined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inline>
              </w:drawing>
            </w:r>
          </w:p>
        </w:tc>
        <w:tc>
          <w:tcPr>
            <w:tcW w:w="681" w:type="pct"/>
          </w:tcPr>
          <w:p w14:paraId="2F8E47D3" w14:textId="32FE7447" w:rsidR="00FB4EEE" w:rsidRPr="0055334E" w:rsidRDefault="7B60CC16" w:rsidP="004F1B39">
            <w:pPr>
              <w:pStyle w:val="Tablebodytext"/>
              <w:rPr>
                <w:sz w:val="24"/>
                <w:szCs w:val="24"/>
              </w:rPr>
            </w:pPr>
            <w:r w:rsidRPr="674B62DA">
              <w:rPr>
                <w:rFonts w:eastAsia="Calibri" w:cs="Arial"/>
              </w:rPr>
              <w:t xml:space="preserve">Consider issuing </w:t>
            </w:r>
            <w:r w:rsidR="3A89FE4F" w:rsidRPr="674B62DA">
              <w:rPr>
                <w:rFonts w:eastAsia="Calibri" w:cs="Arial"/>
              </w:rPr>
              <w:t>e</w:t>
            </w:r>
            <w:r w:rsidRPr="674B62DA">
              <w:rPr>
                <w:rFonts w:eastAsia="Calibri" w:cs="Arial"/>
              </w:rPr>
              <w:t xml:space="preserve">xtreme </w:t>
            </w:r>
            <w:r w:rsidR="3A89FE4F" w:rsidRPr="674B62DA">
              <w:rPr>
                <w:rFonts w:eastAsia="Calibri" w:cs="Arial"/>
              </w:rPr>
              <w:t>h</w:t>
            </w:r>
            <w:r w:rsidRPr="674B62DA">
              <w:rPr>
                <w:rFonts w:eastAsia="Calibri" w:cs="Arial"/>
              </w:rPr>
              <w:t xml:space="preserve">eatwave </w:t>
            </w:r>
            <w:r w:rsidR="3A89FE4F" w:rsidRPr="674B62DA">
              <w:rPr>
                <w:rFonts w:eastAsia="Calibri" w:cs="Arial"/>
              </w:rPr>
              <w:t>e</w:t>
            </w:r>
            <w:r w:rsidRPr="674B62DA">
              <w:rPr>
                <w:rFonts w:eastAsia="Calibri" w:cs="Arial"/>
              </w:rPr>
              <w:t xml:space="preserve">mergency </w:t>
            </w:r>
            <w:r w:rsidR="3A89FE4F" w:rsidRPr="674B62DA">
              <w:rPr>
                <w:rFonts w:eastAsia="Calibri" w:cs="Arial"/>
              </w:rPr>
              <w:t>w</w:t>
            </w:r>
            <w:r w:rsidRPr="674B62DA">
              <w:rPr>
                <w:rFonts w:eastAsia="Calibri" w:cs="Arial"/>
              </w:rPr>
              <w:t>arning, consistent with heat health planning.</w:t>
            </w:r>
          </w:p>
        </w:tc>
      </w:tr>
    </w:tbl>
    <w:p w14:paraId="1092640E" w14:textId="77777777" w:rsidR="00D855CE" w:rsidRPr="0055334E" w:rsidRDefault="00D855CE">
      <w:pPr>
        <w:rPr>
          <w:sz w:val="12"/>
          <w:szCs w:val="12"/>
        </w:rPr>
      </w:pPr>
    </w:p>
    <w:tbl>
      <w:tblPr>
        <w:tblStyle w:val="TableGrid"/>
        <w:tblW w:w="4936" w:type="pct"/>
        <w:tblLook w:val="04A0" w:firstRow="1" w:lastRow="0" w:firstColumn="1" w:lastColumn="0" w:noHBand="0" w:noVBand="1"/>
      </w:tblPr>
      <w:tblGrid>
        <w:gridCol w:w="13568"/>
      </w:tblGrid>
      <w:tr w:rsidR="00FB4EEE" w:rsidRPr="005B59A8" w14:paraId="729978CC" w14:textId="77777777" w:rsidTr="674B62DA">
        <w:trPr>
          <w:cnfStyle w:val="100000000000" w:firstRow="1" w:lastRow="0" w:firstColumn="0" w:lastColumn="0" w:oddVBand="0" w:evenVBand="0" w:oddHBand="0" w:evenHBand="0" w:firstRowFirstColumn="0" w:firstRowLastColumn="0" w:lastRowFirstColumn="0" w:lastRowLastColumn="0"/>
          <w:trHeight w:val="20"/>
        </w:trPr>
        <w:tc>
          <w:tcPr>
            <w:tcW w:w="5000" w:type="pct"/>
            <w:shd w:val="clear" w:color="auto" w:fill="F2F2F2" w:themeFill="background1" w:themeFillShade="F2"/>
          </w:tcPr>
          <w:p w14:paraId="6C0783A9" w14:textId="77777777" w:rsidR="00FB4EEE" w:rsidRPr="005B59A8" w:rsidRDefault="7B60CC16" w:rsidP="004F1B39">
            <w:pPr>
              <w:spacing w:after="0"/>
              <w:rPr>
                <w:rStyle w:val="Strong"/>
                <w:color w:val="auto"/>
              </w:rPr>
            </w:pPr>
            <w:r w:rsidRPr="674B62DA">
              <w:rPr>
                <w:rStyle w:val="Strong"/>
                <w:color w:val="auto"/>
              </w:rPr>
              <w:t>Recommended response agency action statements/topic areas</w:t>
            </w:r>
          </w:p>
          <w:p w14:paraId="7752E81F" w14:textId="77777777" w:rsidR="00FB4EEE" w:rsidRPr="005B59A8" w:rsidRDefault="7B60CC16" w:rsidP="004F1B39">
            <w:pPr>
              <w:pStyle w:val="ListBullet"/>
              <w:rPr>
                <w:color w:val="auto"/>
              </w:rPr>
            </w:pPr>
            <w:r w:rsidRPr="674B62DA">
              <w:rPr>
                <w:color w:val="auto"/>
              </w:rPr>
              <w:t>Schedule activities in the coolest part of the day and avoid exercising in the heat.</w:t>
            </w:r>
          </w:p>
          <w:p w14:paraId="429FF3E8" w14:textId="77777777" w:rsidR="00FB4EEE" w:rsidRPr="005B59A8" w:rsidRDefault="7B60CC16" w:rsidP="004F1B39">
            <w:pPr>
              <w:pStyle w:val="ListBullet"/>
              <w:rPr>
                <w:color w:val="auto"/>
              </w:rPr>
            </w:pPr>
            <w:r w:rsidRPr="674B62DA">
              <w:rPr>
                <w:color w:val="auto"/>
              </w:rPr>
              <w:t>If you must go out, wear a hat and sunscreen and take a bottle of water with you.</w:t>
            </w:r>
          </w:p>
          <w:p w14:paraId="0D5CF4DC" w14:textId="77777777" w:rsidR="00FB4EEE" w:rsidRPr="005B59A8" w:rsidRDefault="7B60CC16" w:rsidP="004F1B39">
            <w:pPr>
              <w:pStyle w:val="ListBullet"/>
              <w:rPr>
                <w:color w:val="auto"/>
              </w:rPr>
            </w:pPr>
            <w:r w:rsidRPr="674B62DA">
              <w:rPr>
                <w:color w:val="auto"/>
              </w:rPr>
              <w:t>Drink water frequently unless your doctor normally limits your fluids.</w:t>
            </w:r>
          </w:p>
          <w:p w14:paraId="422A4CC6" w14:textId="77777777" w:rsidR="00FB4EEE" w:rsidRPr="005B59A8" w:rsidRDefault="7B60CC16" w:rsidP="004F1B39">
            <w:pPr>
              <w:pStyle w:val="ListBullet"/>
              <w:rPr>
                <w:color w:val="auto"/>
              </w:rPr>
            </w:pPr>
            <w:r w:rsidRPr="674B62DA">
              <w:rPr>
                <w:color w:val="auto"/>
              </w:rPr>
              <w:t>Never leave a person or pet in a car.</w:t>
            </w:r>
          </w:p>
          <w:p w14:paraId="6BD03240" w14:textId="77777777" w:rsidR="00FB4EEE" w:rsidRPr="005B59A8" w:rsidRDefault="7B60CC16" w:rsidP="004F1B39">
            <w:pPr>
              <w:pStyle w:val="ListBullet"/>
              <w:rPr>
                <w:color w:val="auto"/>
              </w:rPr>
            </w:pPr>
            <w:r w:rsidRPr="674B62DA">
              <w:rPr>
                <w:color w:val="auto"/>
              </w:rPr>
              <w:t>Check in regularly with vulnerable persons, including elderly neighbours and relatives.</w:t>
            </w:r>
          </w:p>
          <w:p w14:paraId="2D24B7CA" w14:textId="77777777" w:rsidR="00FB4EEE" w:rsidRPr="005B59A8" w:rsidRDefault="7B60CC16" w:rsidP="004F1B39">
            <w:pPr>
              <w:pStyle w:val="ListBullet"/>
              <w:rPr>
                <w:color w:val="auto"/>
              </w:rPr>
            </w:pPr>
            <w:r w:rsidRPr="674B62DA">
              <w:rPr>
                <w:color w:val="auto"/>
              </w:rPr>
              <w:t>Provide shelter and cool water for pets and other animals.</w:t>
            </w:r>
          </w:p>
          <w:p w14:paraId="74AB81A4" w14:textId="77777777" w:rsidR="00FB4EEE" w:rsidRPr="0055334E" w:rsidRDefault="7B60CC16" w:rsidP="004F1B39">
            <w:pPr>
              <w:pStyle w:val="ListBullet"/>
              <w:rPr>
                <w:color w:val="auto"/>
                <w:sz w:val="24"/>
                <w:szCs w:val="24"/>
              </w:rPr>
            </w:pPr>
            <w:r w:rsidRPr="674B62DA">
              <w:rPr>
                <w:color w:val="auto"/>
              </w:rPr>
              <w:t>Seek help if you feel unwell from your GP, pharmacist or Nurse-On-Call. In a life-threatening situation, call triple zero (000).</w:t>
            </w:r>
          </w:p>
        </w:tc>
      </w:tr>
    </w:tbl>
    <w:p w14:paraId="3D3DC406" w14:textId="694A936B" w:rsidR="00FB4EEE" w:rsidRDefault="7B60CC16" w:rsidP="674B62DA">
      <w:pPr>
        <w:pStyle w:val="Caption"/>
        <w:rPr>
          <w:b/>
          <w:bCs/>
        </w:rPr>
      </w:pPr>
      <w:bookmarkStart w:id="65" w:name="_Toc150776938"/>
      <w:r>
        <w:t xml:space="preserve">Table </w:t>
      </w:r>
      <w:r w:rsidR="00FB4EEE">
        <w:fldChar w:fldCharType="begin"/>
      </w:r>
      <w:r w:rsidR="00FB4EEE">
        <w:instrText>SEQ Table \* ARABIC</w:instrText>
      </w:r>
      <w:r w:rsidR="00FB4EEE">
        <w:fldChar w:fldCharType="separate"/>
      </w:r>
      <w:r>
        <w:t>3</w:t>
      </w:r>
      <w:r w:rsidR="00FB4EEE">
        <w:fldChar w:fldCharType="end"/>
      </w:r>
      <w:r>
        <w:t xml:space="preserve">: AWS Heatwave Application </w:t>
      </w:r>
      <w:r w:rsidR="00B96ECC">
        <w:t>–</w:t>
      </w:r>
      <w:r>
        <w:t xml:space="preserve"> Extreme heatwave is imminent or occurring now</w:t>
      </w:r>
      <w:bookmarkEnd w:id="65"/>
      <w:r w:rsidR="00FB4EEE">
        <w:br w:type="page"/>
      </w:r>
    </w:p>
    <w:p w14:paraId="0595E8DC" w14:textId="77777777" w:rsidR="00FB4EEE" w:rsidRPr="004E05FD" w:rsidRDefault="7B60CC16" w:rsidP="00FB4EEE">
      <w:pPr>
        <w:pStyle w:val="Tabletitle"/>
      </w:pPr>
      <w:r>
        <w:lastRenderedPageBreak/>
        <w:t>De-escalation of heatwave warning</w:t>
      </w:r>
    </w:p>
    <w:tbl>
      <w:tblPr>
        <w:tblStyle w:val="TableGrid"/>
        <w:tblW w:w="4929" w:type="pct"/>
        <w:tblLook w:val="04A0" w:firstRow="1" w:lastRow="0" w:firstColumn="1" w:lastColumn="0" w:noHBand="0" w:noVBand="1"/>
      </w:tblPr>
      <w:tblGrid>
        <w:gridCol w:w="1414"/>
        <w:gridCol w:w="1233"/>
        <w:gridCol w:w="2580"/>
        <w:gridCol w:w="5116"/>
        <w:gridCol w:w="1363"/>
        <w:gridCol w:w="1843"/>
      </w:tblGrid>
      <w:tr w:rsidR="00FB4EEE" w:rsidRPr="00F911CC" w14:paraId="34EB1746" w14:textId="77777777" w:rsidTr="674B62DA">
        <w:trPr>
          <w:cnfStyle w:val="100000000000" w:firstRow="1" w:lastRow="0" w:firstColumn="0" w:lastColumn="0" w:oddVBand="0" w:evenVBand="0" w:oddHBand="0" w:evenHBand="0" w:firstRowFirstColumn="0" w:firstRowLastColumn="0" w:lastRowFirstColumn="0" w:lastRowLastColumn="0"/>
          <w:trHeight w:val="484"/>
        </w:trPr>
        <w:tc>
          <w:tcPr>
            <w:tcW w:w="522" w:type="pct"/>
            <w:shd w:val="clear" w:color="auto" w:fill="BFBFBF" w:themeFill="background1" w:themeFillShade="BF"/>
          </w:tcPr>
          <w:p w14:paraId="6312E8C2" w14:textId="77777777" w:rsidR="00FB4EEE" w:rsidRPr="00F911CC" w:rsidRDefault="7B60CC16" w:rsidP="004F1B39">
            <w:pPr>
              <w:pStyle w:val="Tableheadingrow"/>
              <w:rPr>
                <w:color w:val="auto"/>
                <w:sz w:val="22"/>
                <w:szCs w:val="22"/>
              </w:rPr>
            </w:pPr>
            <w:r w:rsidRPr="674B62DA">
              <w:rPr>
                <w:color w:val="auto"/>
                <w:sz w:val="22"/>
                <w:szCs w:val="22"/>
              </w:rPr>
              <w:t>EHF trigger level</w:t>
            </w:r>
          </w:p>
        </w:tc>
        <w:tc>
          <w:tcPr>
            <w:tcW w:w="455" w:type="pct"/>
            <w:shd w:val="clear" w:color="auto" w:fill="BFBFBF" w:themeFill="background1" w:themeFillShade="BF"/>
          </w:tcPr>
          <w:p w14:paraId="67783417" w14:textId="77777777" w:rsidR="00FB4EEE" w:rsidRPr="00F911CC" w:rsidRDefault="7B60CC16" w:rsidP="004F1B39">
            <w:pPr>
              <w:pStyle w:val="Tableheadingrow"/>
              <w:rPr>
                <w:color w:val="auto"/>
                <w:sz w:val="22"/>
                <w:szCs w:val="22"/>
              </w:rPr>
            </w:pPr>
            <w:r w:rsidRPr="674B62DA">
              <w:rPr>
                <w:color w:val="auto"/>
                <w:sz w:val="22"/>
                <w:szCs w:val="22"/>
              </w:rPr>
              <w:t>Lead time</w:t>
            </w:r>
          </w:p>
        </w:tc>
        <w:tc>
          <w:tcPr>
            <w:tcW w:w="952" w:type="pct"/>
            <w:shd w:val="clear" w:color="auto" w:fill="BFBFBF" w:themeFill="background1" w:themeFillShade="BF"/>
          </w:tcPr>
          <w:p w14:paraId="0973397D" w14:textId="77777777" w:rsidR="00FB4EEE" w:rsidRPr="00F911CC" w:rsidRDefault="7B60CC16" w:rsidP="004F1B39">
            <w:pPr>
              <w:pStyle w:val="Tableheadingrow"/>
              <w:rPr>
                <w:color w:val="auto"/>
                <w:sz w:val="22"/>
                <w:szCs w:val="22"/>
              </w:rPr>
            </w:pPr>
            <w:r w:rsidRPr="674B62DA">
              <w:rPr>
                <w:color w:val="auto"/>
                <w:sz w:val="22"/>
                <w:szCs w:val="22"/>
              </w:rPr>
              <w:t>Impact</w:t>
            </w:r>
          </w:p>
        </w:tc>
        <w:tc>
          <w:tcPr>
            <w:tcW w:w="1888" w:type="pct"/>
            <w:shd w:val="clear" w:color="auto" w:fill="BFBFBF" w:themeFill="background1" w:themeFillShade="BF"/>
          </w:tcPr>
          <w:p w14:paraId="24712FCD" w14:textId="77777777" w:rsidR="00FB4EEE" w:rsidRPr="00F911CC" w:rsidRDefault="7B60CC16" w:rsidP="004F1B39">
            <w:pPr>
              <w:pStyle w:val="Tableheadingrow"/>
              <w:rPr>
                <w:color w:val="auto"/>
                <w:sz w:val="22"/>
                <w:szCs w:val="22"/>
              </w:rPr>
            </w:pPr>
            <w:r w:rsidRPr="674B62DA">
              <w:rPr>
                <w:color w:val="auto"/>
                <w:sz w:val="22"/>
                <w:szCs w:val="22"/>
              </w:rPr>
              <w:t>Bureau warning action statements</w:t>
            </w:r>
          </w:p>
        </w:tc>
        <w:tc>
          <w:tcPr>
            <w:tcW w:w="503" w:type="pct"/>
            <w:shd w:val="clear" w:color="auto" w:fill="BFBFBF" w:themeFill="background1" w:themeFillShade="BF"/>
          </w:tcPr>
          <w:p w14:paraId="25439893" w14:textId="77777777" w:rsidR="00FB4EEE" w:rsidRPr="00F911CC" w:rsidRDefault="7B60CC16" w:rsidP="004F1B39">
            <w:pPr>
              <w:pStyle w:val="Tableheadingrow"/>
              <w:rPr>
                <w:color w:val="auto"/>
                <w:sz w:val="22"/>
                <w:szCs w:val="22"/>
              </w:rPr>
            </w:pPr>
            <w:r w:rsidRPr="674B62DA">
              <w:rPr>
                <w:color w:val="auto"/>
                <w:sz w:val="22"/>
                <w:szCs w:val="22"/>
              </w:rPr>
              <w:t>AWS alignment</w:t>
            </w:r>
          </w:p>
        </w:tc>
        <w:tc>
          <w:tcPr>
            <w:tcW w:w="681" w:type="pct"/>
            <w:shd w:val="clear" w:color="auto" w:fill="BFBFBF" w:themeFill="background1" w:themeFillShade="BF"/>
          </w:tcPr>
          <w:p w14:paraId="2D4115B9" w14:textId="77777777" w:rsidR="00FB4EEE" w:rsidRPr="00F911CC" w:rsidRDefault="7B60CC16" w:rsidP="004F1B39">
            <w:pPr>
              <w:pStyle w:val="Tableheadingrow"/>
              <w:rPr>
                <w:color w:val="auto"/>
                <w:sz w:val="22"/>
                <w:szCs w:val="22"/>
              </w:rPr>
            </w:pPr>
            <w:r w:rsidRPr="674B62DA">
              <w:rPr>
                <w:color w:val="auto"/>
                <w:sz w:val="22"/>
                <w:szCs w:val="22"/>
              </w:rPr>
              <w:t>Jurisdictional agency response</w:t>
            </w:r>
          </w:p>
        </w:tc>
      </w:tr>
      <w:tr w:rsidR="00FB4EEE" w:rsidRPr="008E72A5" w14:paraId="53AF27FA" w14:textId="77777777" w:rsidTr="674B62DA">
        <w:trPr>
          <w:cnfStyle w:val="000000100000" w:firstRow="0" w:lastRow="0" w:firstColumn="0" w:lastColumn="0" w:oddVBand="0" w:evenVBand="0" w:oddHBand="1" w:evenHBand="0" w:firstRowFirstColumn="0" w:firstRowLastColumn="0" w:lastRowFirstColumn="0" w:lastRowLastColumn="0"/>
          <w:trHeight w:val="20"/>
        </w:trPr>
        <w:tc>
          <w:tcPr>
            <w:tcW w:w="522" w:type="pct"/>
          </w:tcPr>
          <w:p w14:paraId="39E8B3B1" w14:textId="59378ACE" w:rsidR="00FB4EEE" w:rsidRPr="00BC26C8" w:rsidRDefault="7B60CC16" w:rsidP="004F1B39">
            <w:pPr>
              <w:pStyle w:val="Tablebodytext"/>
            </w:pPr>
            <w:r>
              <w:t>N</w:t>
            </w:r>
            <w:r w:rsidR="3A89FE4F">
              <w:t>/</w:t>
            </w:r>
            <w:r>
              <w:t>A</w:t>
            </w:r>
          </w:p>
        </w:tc>
        <w:tc>
          <w:tcPr>
            <w:tcW w:w="455" w:type="pct"/>
          </w:tcPr>
          <w:p w14:paraId="2F427048" w14:textId="77777777" w:rsidR="00FB4EEE" w:rsidRPr="00BC26C8" w:rsidRDefault="7B60CC16" w:rsidP="004F1B39">
            <w:pPr>
              <w:pStyle w:val="Tablebodytext"/>
            </w:pPr>
            <w:r>
              <w:t>1-3 days following the end of the heatwave</w:t>
            </w:r>
          </w:p>
        </w:tc>
        <w:tc>
          <w:tcPr>
            <w:tcW w:w="952" w:type="pct"/>
          </w:tcPr>
          <w:p w14:paraId="22DA51F9" w14:textId="66BF9737" w:rsidR="00FB4EEE" w:rsidRPr="00BC26C8" w:rsidRDefault="7B60CC16" w:rsidP="004F1B39">
            <w:pPr>
              <w:pStyle w:val="Tablebodytext"/>
            </w:pPr>
            <w:r>
              <w:t>Heatwaves effects on health, the community, infrastructure and services can continue for some days after temperatures have fallen</w:t>
            </w:r>
          </w:p>
        </w:tc>
        <w:tc>
          <w:tcPr>
            <w:tcW w:w="1888" w:type="pct"/>
          </w:tcPr>
          <w:p w14:paraId="2C8792CD" w14:textId="77777777" w:rsidR="00FB4EEE" w:rsidRPr="0089266B" w:rsidRDefault="7B60CC16" w:rsidP="004F1B39">
            <w:pPr>
              <w:pStyle w:val="ListBullet"/>
            </w:pPr>
            <w:r>
              <w:t>Hot weather can still occur even when a heatwave has ended.</w:t>
            </w:r>
          </w:p>
          <w:p w14:paraId="6817980A" w14:textId="77777777" w:rsidR="00FB4EEE" w:rsidRPr="0089266B" w:rsidRDefault="7B60CC16" w:rsidP="004F1B39">
            <w:pPr>
              <w:pStyle w:val="ListBullet"/>
            </w:pPr>
            <w:r>
              <w:t>It may take some days to recover from a heatwave.</w:t>
            </w:r>
          </w:p>
          <w:p w14:paraId="6C30A21B" w14:textId="77777777" w:rsidR="00FB4EEE" w:rsidRPr="00733DC0" w:rsidRDefault="7B60CC16" w:rsidP="004F1B39">
            <w:pPr>
              <w:pStyle w:val="ListBullet"/>
            </w:pPr>
            <w:r>
              <w:t>You should continue to take care of yourself and others, including animals.</w:t>
            </w:r>
          </w:p>
        </w:tc>
        <w:tc>
          <w:tcPr>
            <w:tcW w:w="503" w:type="pct"/>
          </w:tcPr>
          <w:p w14:paraId="20C7C3EC" w14:textId="56D532FD" w:rsidR="00FB4EEE" w:rsidRDefault="7B60CC16" w:rsidP="004F1B39">
            <w:pPr>
              <w:pStyle w:val="Tablebodytext"/>
            </w:pPr>
            <w:r>
              <w:t>N</w:t>
            </w:r>
            <w:r w:rsidR="3A89FE4F">
              <w:t>/</w:t>
            </w:r>
            <w:r>
              <w:t>A</w:t>
            </w:r>
          </w:p>
        </w:tc>
        <w:tc>
          <w:tcPr>
            <w:tcW w:w="681" w:type="pct"/>
          </w:tcPr>
          <w:p w14:paraId="2AB3ED9B" w14:textId="5F190780" w:rsidR="00FB4EEE" w:rsidRDefault="7B60CC16" w:rsidP="004F1B39">
            <w:pPr>
              <w:pStyle w:val="Tablebodytext"/>
            </w:pPr>
            <w:r>
              <w:t>Consider issuing health advice consistent with heat health planning.</w:t>
            </w:r>
          </w:p>
        </w:tc>
      </w:tr>
    </w:tbl>
    <w:p w14:paraId="5DCC8723" w14:textId="77777777" w:rsidR="00D855CE" w:rsidRPr="00D855CE" w:rsidRDefault="00D855CE">
      <w:pPr>
        <w:rPr>
          <w:sz w:val="10"/>
          <w:szCs w:val="10"/>
        </w:rPr>
      </w:pPr>
    </w:p>
    <w:tbl>
      <w:tblPr>
        <w:tblStyle w:val="TableGrid"/>
        <w:tblW w:w="4936" w:type="pct"/>
        <w:tblLook w:val="04A0" w:firstRow="1" w:lastRow="0" w:firstColumn="1" w:lastColumn="0" w:noHBand="0" w:noVBand="1"/>
      </w:tblPr>
      <w:tblGrid>
        <w:gridCol w:w="13568"/>
      </w:tblGrid>
      <w:tr w:rsidR="00FB4EEE" w:rsidRPr="003F525F" w14:paraId="4FADDCD3" w14:textId="77777777" w:rsidTr="674B62DA">
        <w:trPr>
          <w:cnfStyle w:val="100000000000" w:firstRow="1" w:lastRow="0" w:firstColumn="0" w:lastColumn="0" w:oddVBand="0" w:evenVBand="0" w:oddHBand="0" w:evenHBand="0" w:firstRowFirstColumn="0" w:firstRowLastColumn="0" w:lastRowFirstColumn="0" w:lastRowLastColumn="0"/>
          <w:trHeight w:val="20"/>
        </w:trPr>
        <w:tc>
          <w:tcPr>
            <w:tcW w:w="5000" w:type="pct"/>
            <w:shd w:val="clear" w:color="auto" w:fill="F2F2F2" w:themeFill="background1" w:themeFillShade="F2"/>
          </w:tcPr>
          <w:p w14:paraId="019D8567" w14:textId="77777777" w:rsidR="00FB4EEE" w:rsidRPr="00D855CE" w:rsidRDefault="7B60CC16" w:rsidP="004F1B39">
            <w:pPr>
              <w:spacing w:after="0"/>
              <w:rPr>
                <w:rStyle w:val="Strong"/>
                <w:color w:val="auto"/>
              </w:rPr>
            </w:pPr>
            <w:r w:rsidRPr="674B62DA">
              <w:rPr>
                <w:rStyle w:val="Strong"/>
                <w:color w:val="auto"/>
              </w:rPr>
              <w:t>Recommended response agency action statements/topic areas</w:t>
            </w:r>
          </w:p>
          <w:p w14:paraId="13138342" w14:textId="77777777" w:rsidR="00FB4EEE" w:rsidRPr="00D855CE" w:rsidRDefault="7B60CC16" w:rsidP="004F1B39">
            <w:pPr>
              <w:pStyle w:val="ListBullet"/>
              <w:rPr>
                <w:color w:val="auto"/>
              </w:rPr>
            </w:pPr>
            <w:r w:rsidRPr="674B62DA">
              <w:rPr>
                <w:color w:val="auto"/>
              </w:rPr>
              <w:t>Prolonged heat can still be dangerous.</w:t>
            </w:r>
          </w:p>
          <w:p w14:paraId="6E9F2F5A" w14:textId="14486795" w:rsidR="00FB4EEE" w:rsidRPr="00D855CE" w:rsidRDefault="7B60CC16" w:rsidP="004F1B39">
            <w:pPr>
              <w:pStyle w:val="ListBullet"/>
              <w:rPr>
                <w:color w:val="auto"/>
              </w:rPr>
            </w:pPr>
            <w:r w:rsidRPr="674B62DA">
              <w:rPr>
                <w:color w:val="auto"/>
              </w:rPr>
              <w:t>Seek help if you feel unwell from your GP, pharmacist or Nurse-On-Call. In a life-threatening situation call triple zero (000).</w:t>
            </w:r>
          </w:p>
          <w:p w14:paraId="6BE873C2" w14:textId="77777777" w:rsidR="00FB4EEE" w:rsidRPr="00D855CE" w:rsidRDefault="7B60CC16" w:rsidP="004F1B39">
            <w:pPr>
              <w:pStyle w:val="ListBullet"/>
              <w:rPr>
                <w:color w:val="auto"/>
              </w:rPr>
            </w:pPr>
            <w:r w:rsidRPr="674B62DA">
              <w:rPr>
                <w:color w:val="auto"/>
              </w:rPr>
              <w:t>Continue to check in regularly with vulnerable persons, including elderly neighbours and relatives.</w:t>
            </w:r>
          </w:p>
        </w:tc>
      </w:tr>
    </w:tbl>
    <w:p w14:paraId="5BFD7486" w14:textId="77777777" w:rsidR="00FB4EEE" w:rsidRDefault="7B60CC16" w:rsidP="00FB4EEE">
      <w:pPr>
        <w:pStyle w:val="Caption"/>
      </w:pPr>
      <w:bookmarkStart w:id="66" w:name="_Toc150776939"/>
      <w:r>
        <w:t xml:space="preserve">Table </w:t>
      </w:r>
      <w:r w:rsidR="00FB4EEE">
        <w:fldChar w:fldCharType="begin"/>
      </w:r>
      <w:r w:rsidR="00FB4EEE">
        <w:instrText>SEQ Table \* ARABIC</w:instrText>
      </w:r>
      <w:r w:rsidR="00FB4EEE">
        <w:fldChar w:fldCharType="separate"/>
      </w:r>
      <w:r>
        <w:t>4</w:t>
      </w:r>
      <w:r w:rsidR="00FB4EEE">
        <w:fldChar w:fldCharType="end"/>
      </w:r>
      <w:r>
        <w:t>: AWS Heatwave Application – de-escalation of heatwave warning</w:t>
      </w:r>
      <w:bookmarkEnd w:id="66"/>
    </w:p>
    <w:p w14:paraId="256C2BC6" w14:textId="77777777" w:rsidR="00FB4EEE" w:rsidRDefault="00FB4EEE" w:rsidP="674B62DA">
      <w:pPr>
        <w:spacing w:after="0" w:line="240" w:lineRule="auto"/>
        <w:rPr>
          <w:rFonts w:eastAsiaTheme="majorEastAsia" w:cstheme="majorBidi"/>
          <w:b/>
          <w:bCs/>
          <w:color w:val="000000" w:themeColor="text1"/>
          <w:sz w:val="36"/>
          <w:szCs w:val="36"/>
        </w:rPr>
      </w:pPr>
      <w:r>
        <w:br w:type="page"/>
      </w:r>
    </w:p>
    <w:p w14:paraId="41D7FE68" w14:textId="77777777" w:rsidR="00FB4EEE" w:rsidRDefault="7B60CC16" w:rsidP="00FB4EEE">
      <w:pPr>
        <w:pStyle w:val="NumberedHeading1"/>
      </w:pPr>
      <w:bookmarkStart w:id="67" w:name="_Toc119931229"/>
      <w:bookmarkStart w:id="68" w:name="_Toc149899491"/>
      <w:bookmarkStart w:id="69" w:name="_Toc149907547"/>
      <w:r>
        <w:lastRenderedPageBreak/>
        <w:t>Total Warning System: Heatwave Application</w:t>
      </w:r>
      <w:bookmarkEnd w:id="67"/>
      <w:bookmarkEnd w:id="68"/>
      <w:bookmarkEnd w:id="69"/>
    </w:p>
    <w:p w14:paraId="3871800A" w14:textId="77777777" w:rsidR="00F142E4" w:rsidRDefault="00F142E4" w:rsidP="00F142E4"/>
    <w:tbl>
      <w:tblPr>
        <w:tblStyle w:val="TableGrid"/>
        <w:tblW w:w="5000" w:type="pct"/>
        <w:tblLook w:val="04A0" w:firstRow="1" w:lastRow="0" w:firstColumn="1" w:lastColumn="0" w:noHBand="0" w:noVBand="1"/>
      </w:tblPr>
      <w:tblGrid>
        <w:gridCol w:w="1414"/>
        <w:gridCol w:w="1746"/>
        <w:gridCol w:w="2719"/>
        <w:gridCol w:w="1908"/>
        <w:gridCol w:w="5957"/>
      </w:tblGrid>
      <w:tr w:rsidR="00FB4EEE" w:rsidRPr="007A76BC" w14:paraId="24AA4046" w14:textId="77777777" w:rsidTr="674B62DA">
        <w:trPr>
          <w:cnfStyle w:val="100000000000" w:firstRow="1" w:lastRow="0" w:firstColumn="0" w:lastColumn="0" w:oddVBand="0" w:evenVBand="0" w:oddHBand="0" w:evenHBand="0" w:firstRowFirstColumn="0" w:firstRowLastColumn="0" w:lastRowFirstColumn="0" w:lastRowLastColumn="0"/>
          <w:trHeight w:val="484"/>
          <w:tblHeader/>
        </w:trPr>
        <w:tc>
          <w:tcPr>
            <w:tcW w:w="514" w:type="pct"/>
          </w:tcPr>
          <w:p w14:paraId="1647AD75" w14:textId="77777777" w:rsidR="00FB4EEE" w:rsidRPr="007A76BC" w:rsidRDefault="7B60CC16" w:rsidP="004F1B39">
            <w:pPr>
              <w:pStyle w:val="Tableheadingrow"/>
            </w:pPr>
            <w:r>
              <w:t>Timing</w:t>
            </w:r>
          </w:p>
        </w:tc>
        <w:tc>
          <w:tcPr>
            <w:tcW w:w="635" w:type="pct"/>
          </w:tcPr>
          <w:p w14:paraId="56D61487" w14:textId="77777777" w:rsidR="00FB4EEE" w:rsidRPr="007A76BC" w:rsidRDefault="7B60CC16" w:rsidP="004F1B39">
            <w:pPr>
              <w:pStyle w:val="Tableheadingrow"/>
            </w:pPr>
            <w:r>
              <w:t>Element</w:t>
            </w:r>
          </w:p>
        </w:tc>
        <w:tc>
          <w:tcPr>
            <w:tcW w:w="989" w:type="pct"/>
          </w:tcPr>
          <w:p w14:paraId="6DDE73A1" w14:textId="77777777" w:rsidR="00FB4EEE" w:rsidRPr="007A76BC" w:rsidRDefault="7B60CC16" w:rsidP="004F1B39">
            <w:pPr>
              <w:pStyle w:val="Tableheadingrow"/>
            </w:pPr>
            <w:r>
              <w:t>Description</w:t>
            </w:r>
          </w:p>
        </w:tc>
        <w:tc>
          <w:tcPr>
            <w:tcW w:w="694" w:type="pct"/>
          </w:tcPr>
          <w:p w14:paraId="0A06D99C" w14:textId="77777777" w:rsidR="00FB4EEE" w:rsidRPr="007A76BC" w:rsidRDefault="7B60CC16" w:rsidP="004F1B39">
            <w:pPr>
              <w:pStyle w:val="Tableheadingrow"/>
            </w:pPr>
            <w:r>
              <w:t>Responsibility</w:t>
            </w:r>
          </w:p>
        </w:tc>
        <w:tc>
          <w:tcPr>
            <w:tcW w:w="2167" w:type="pct"/>
          </w:tcPr>
          <w:p w14:paraId="43D6DB5C" w14:textId="77777777" w:rsidR="00FB4EEE" w:rsidRPr="007A76BC" w:rsidRDefault="7B60CC16" w:rsidP="004F1B39">
            <w:pPr>
              <w:pStyle w:val="Tableheadingrow"/>
            </w:pPr>
            <w:r>
              <w:t>Action</w:t>
            </w:r>
          </w:p>
        </w:tc>
      </w:tr>
      <w:tr w:rsidR="00FB4EEE" w:rsidRPr="003F525F" w14:paraId="72457D69" w14:textId="77777777" w:rsidTr="674B62DA">
        <w:trPr>
          <w:cnfStyle w:val="000000100000" w:firstRow="0" w:lastRow="0" w:firstColumn="0" w:lastColumn="0" w:oddVBand="0" w:evenVBand="0" w:oddHBand="1" w:evenHBand="0" w:firstRowFirstColumn="0" w:firstRowLastColumn="0" w:lastRowFirstColumn="0" w:lastRowLastColumn="0"/>
          <w:trHeight w:val="20"/>
        </w:trPr>
        <w:tc>
          <w:tcPr>
            <w:tcW w:w="514" w:type="pct"/>
            <w:vMerge w:val="restart"/>
            <w:shd w:val="clear" w:color="auto" w:fill="F2F2F2" w:themeFill="background1" w:themeFillShade="F2"/>
          </w:tcPr>
          <w:p w14:paraId="32708DD4" w14:textId="77777777" w:rsidR="00FB4EEE" w:rsidRPr="000E0E25" w:rsidRDefault="00FB4EEE" w:rsidP="004F1B39">
            <w:r>
              <w:t>Always</w:t>
            </w:r>
          </w:p>
        </w:tc>
        <w:tc>
          <w:tcPr>
            <w:tcW w:w="635" w:type="pct"/>
            <w:vMerge w:val="restart"/>
            <w:shd w:val="clear" w:color="auto" w:fill="F2F2F2" w:themeFill="background1" w:themeFillShade="F2"/>
          </w:tcPr>
          <w:p w14:paraId="22FDD409" w14:textId="38BA81AA" w:rsidR="00FB4EEE" w:rsidRPr="003F525F" w:rsidRDefault="00FB4EEE" w:rsidP="004F1B39">
            <w:r w:rsidRPr="00703E7C">
              <w:t xml:space="preserve">Situational </w:t>
            </w:r>
            <w:r w:rsidR="00B877F0">
              <w:t>a</w:t>
            </w:r>
            <w:r w:rsidRPr="00703E7C">
              <w:t>wareness</w:t>
            </w:r>
          </w:p>
        </w:tc>
        <w:tc>
          <w:tcPr>
            <w:tcW w:w="989" w:type="pct"/>
            <w:vMerge w:val="restart"/>
            <w:shd w:val="clear" w:color="auto" w:fill="F2F2F2" w:themeFill="background1" w:themeFillShade="F2"/>
          </w:tcPr>
          <w:p w14:paraId="7EBC24D3" w14:textId="77777777" w:rsidR="00FB4EEE" w:rsidRPr="003F525F" w:rsidRDefault="00FB4EEE" w:rsidP="004F1B39">
            <w:r w:rsidRPr="00703E7C">
              <w:t>Continuous attention to and connection with the past, current and emerging situation</w:t>
            </w:r>
          </w:p>
        </w:tc>
        <w:tc>
          <w:tcPr>
            <w:tcW w:w="694" w:type="pct"/>
            <w:shd w:val="clear" w:color="auto" w:fill="F2F2F2" w:themeFill="background1" w:themeFillShade="F2"/>
          </w:tcPr>
          <w:p w14:paraId="12DD9E67" w14:textId="77777777" w:rsidR="00FB4EEE" w:rsidRPr="003F525F" w:rsidRDefault="00FB4EEE" w:rsidP="004F1B39">
            <w:r w:rsidRPr="00703E7C">
              <w:t>Bureau</w:t>
            </w:r>
          </w:p>
        </w:tc>
        <w:tc>
          <w:tcPr>
            <w:tcW w:w="2167" w:type="pct"/>
            <w:shd w:val="clear" w:color="auto" w:fill="F2F2F2" w:themeFill="background1" w:themeFillShade="F2"/>
          </w:tcPr>
          <w:p w14:paraId="5B1290AF" w14:textId="77777777" w:rsidR="00FB4EEE" w:rsidRPr="003F525F" w:rsidRDefault="00FB4EEE" w:rsidP="004F1B39">
            <w:r>
              <w:t>Provide</w:t>
            </w:r>
            <w:r w:rsidRPr="00703E7C">
              <w:t xml:space="preserve"> weather observations, heatwave warnings, 7-day heatwave forecast and seasonal outlooks available to agencies responsible for heatwaves and the community.</w:t>
            </w:r>
          </w:p>
        </w:tc>
      </w:tr>
      <w:tr w:rsidR="00FB4EEE" w:rsidRPr="003F525F" w14:paraId="1464F4B4" w14:textId="77777777" w:rsidTr="674B62DA">
        <w:trPr>
          <w:cnfStyle w:val="000000010000" w:firstRow="0" w:lastRow="0" w:firstColumn="0" w:lastColumn="0" w:oddVBand="0" w:evenVBand="0" w:oddHBand="0" w:evenHBand="1" w:firstRowFirstColumn="0" w:firstRowLastColumn="0" w:lastRowFirstColumn="0" w:lastRowLastColumn="0"/>
          <w:trHeight w:val="20"/>
        </w:trPr>
        <w:tc>
          <w:tcPr>
            <w:tcW w:w="514" w:type="pct"/>
            <w:vMerge/>
          </w:tcPr>
          <w:p w14:paraId="6EE91E4D" w14:textId="77777777" w:rsidR="00FB4EEE" w:rsidRDefault="00FB4EEE" w:rsidP="004F1B39"/>
        </w:tc>
        <w:tc>
          <w:tcPr>
            <w:tcW w:w="635" w:type="pct"/>
            <w:vMerge/>
          </w:tcPr>
          <w:p w14:paraId="003C653D" w14:textId="77777777" w:rsidR="00FB4EEE" w:rsidRPr="003F525F" w:rsidRDefault="00FB4EEE" w:rsidP="004F1B39"/>
        </w:tc>
        <w:tc>
          <w:tcPr>
            <w:tcW w:w="989" w:type="pct"/>
            <w:vMerge/>
          </w:tcPr>
          <w:p w14:paraId="280492FA" w14:textId="77777777" w:rsidR="00FB4EEE" w:rsidRPr="003F525F" w:rsidRDefault="00FB4EEE" w:rsidP="004F1B39"/>
        </w:tc>
        <w:tc>
          <w:tcPr>
            <w:tcW w:w="694" w:type="pct"/>
            <w:shd w:val="clear" w:color="auto" w:fill="F2F2F2" w:themeFill="background1" w:themeFillShade="F2"/>
          </w:tcPr>
          <w:p w14:paraId="5287550A" w14:textId="660D3BFC" w:rsidR="00FB4EEE" w:rsidRPr="003F525F" w:rsidRDefault="00FB4EEE" w:rsidP="004F1B39">
            <w:r>
              <w:t xml:space="preserve">State or </w:t>
            </w:r>
            <w:r w:rsidR="00B877F0">
              <w:t>t</w:t>
            </w:r>
            <w:r>
              <w:t>erritory</w:t>
            </w:r>
          </w:p>
        </w:tc>
        <w:tc>
          <w:tcPr>
            <w:tcW w:w="2167" w:type="pct"/>
            <w:shd w:val="clear" w:color="auto" w:fill="F2F2F2" w:themeFill="background1" w:themeFillShade="F2"/>
          </w:tcPr>
          <w:p w14:paraId="2CD64F27" w14:textId="77777777" w:rsidR="00FB4EEE" w:rsidRDefault="7B60CC16" w:rsidP="004F1B39">
            <w:r>
              <w:t>Continue existing practices to maintain situational awareness through existing Commonwealth or jurisdictional mechanisms.</w:t>
            </w:r>
          </w:p>
          <w:p w14:paraId="34A761F0" w14:textId="77777777" w:rsidR="00FB4EEE" w:rsidRPr="003F525F" w:rsidRDefault="00FB4EEE" w:rsidP="004F1B39">
            <w:r>
              <w:t>Monitor the Bureau’s heatwave situational awareness and forecast and warning products and issuing of warnings as needed without duplicating effort.</w:t>
            </w:r>
          </w:p>
        </w:tc>
      </w:tr>
      <w:tr w:rsidR="00FB4EEE" w:rsidRPr="003F525F" w14:paraId="03A37432" w14:textId="77777777" w:rsidTr="674B62DA">
        <w:trPr>
          <w:cnfStyle w:val="000000100000" w:firstRow="0" w:lastRow="0" w:firstColumn="0" w:lastColumn="0" w:oddVBand="0" w:evenVBand="0" w:oddHBand="1" w:evenHBand="0" w:firstRowFirstColumn="0" w:firstRowLastColumn="0" w:lastRowFirstColumn="0" w:lastRowLastColumn="0"/>
          <w:trHeight w:val="20"/>
        </w:trPr>
        <w:tc>
          <w:tcPr>
            <w:tcW w:w="514" w:type="pct"/>
            <w:vMerge w:val="restart"/>
            <w:shd w:val="clear" w:color="auto" w:fill="auto"/>
          </w:tcPr>
          <w:p w14:paraId="000C5FEE" w14:textId="77777777" w:rsidR="00FB4EEE" w:rsidRDefault="00FB4EEE" w:rsidP="004F1B39">
            <w:r>
              <w:t>Before</w:t>
            </w:r>
          </w:p>
        </w:tc>
        <w:tc>
          <w:tcPr>
            <w:tcW w:w="635" w:type="pct"/>
            <w:vMerge w:val="restart"/>
            <w:shd w:val="clear" w:color="auto" w:fill="auto"/>
          </w:tcPr>
          <w:p w14:paraId="75C8EC53" w14:textId="77777777" w:rsidR="00FB4EEE" w:rsidRPr="003F525F" w:rsidRDefault="00FB4EEE" w:rsidP="004F1B39">
            <w:r w:rsidRPr="00703E7C">
              <w:t>Building community resilience to heatwaves</w:t>
            </w:r>
          </w:p>
        </w:tc>
        <w:tc>
          <w:tcPr>
            <w:tcW w:w="989" w:type="pct"/>
            <w:vMerge w:val="restart"/>
            <w:shd w:val="clear" w:color="auto" w:fill="auto"/>
          </w:tcPr>
          <w:p w14:paraId="381F1534" w14:textId="77777777" w:rsidR="00FB4EEE" w:rsidRPr="003F525F" w:rsidRDefault="7B60CC16" w:rsidP="004F1B39">
            <w:r>
              <w:t>Pre-emergency community engagement and education about their heatwave risk, shared responsibilities and protective action</w:t>
            </w:r>
          </w:p>
        </w:tc>
        <w:tc>
          <w:tcPr>
            <w:tcW w:w="694" w:type="pct"/>
            <w:shd w:val="clear" w:color="auto" w:fill="auto"/>
          </w:tcPr>
          <w:p w14:paraId="1B7D467B" w14:textId="77777777" w:rsidR="00FB4EEE" w:rsidRPr="003F525F" w:rsidRDefault="00FB4EEE" w:rsidP="004F1B39">
            <w:r w:rsidRPr="00703E7C">
              <w:t>Bureau</w:t>
            </w:r>
          </w:p>
        </w:tc>
        <w:tc>
          <w:tcPr>
            <w:tcW w:w="2167" w:type="pct"/>
            <w:shd w:val="clear" w:color="auto" w:fill="auto"/>
          </w:tcPr>
          <w:p w14:paraId="3005A750" w14:textId="77777777" w:rsidR="00FB4EEE" w:rsidRDefault="7B60CC16" w:rsidP="004F1B39">
            <w:r>
              <w:t>Provide information:</w:t>
            </w:r>
          </w:p>
          <w:p w14:paraId="63F07E9A" w14:textId="3149DC7B" w:rsidR="00FB4EEE" w:rsidRDefault="7B60CC16" w:rsidP="004F1B39">
            <w:pPr>
              <w:pStyle w:val="ListBullet"/>
            </w:pPr>
            <w:r>
              <w:t>Pre-season emergency service briefings</w:t>
            </w:r>
            <w:r w:rsidR="3A89FE4F">
              <w:t>.</w:t>
            </w:r>
            <w:r>
              <w:t xml:space="preserve"> </w:t>
            </w:r>
          </w:p>
          <w:p w14:paraId="1C35D248" w14:textId="3E04F6F8" w:rsidR="00FB4EEE" w:rsidRDefault="7B60CC16" w:rsidP="004F1B39">
            <w:pPr>
              <w:pStyle w:val="ListBullet"/>
            </w:pPr>
            <w:r>
              <w:t>Public awareness raising campaigns</w:t>
            </w:r>
            <w:r w:rsidR="3A89FE4F">
              <w:t>.</w:t>
            </w:r>
          </w:p>
          <w:p w14:paraId="57D0E30E" w14:textId="7DCCB2BB" w:rsidR="00FB4EEE" w:rsidRPr="003F525F" w:rsidRDefault="7B60CC16" w:rsidP="004F1B39">
            <w:pPr>
              <w:pStyle w:val="ListBullet"/>
            </w:pPr>
            <w:r>
              <w:t>Targeted information for public sector, business, and industry</w:t>
            </w:r>
            <w:r w:rsidR="3A89FE4F">
              <w:t>.</w:t>
            </w:r>
          </w:p>
        </w:tc>
      </w:tr>
      <w:tr w:rsidR="00FB4EEE" w:rsidRPr="003F525F" w14:paraId="2B88C833" w14:textId="77777777" w:rsidTr="674B62DA">
        <w:trPr>
          <w:cnfStyle w:val="000000010000" w:firstRow="0" w:lastRow="0" w:firstColumn="0" w:lastColumn="0" w:oddVBand="0" w:evenVBand="0" w:oddHBand="0" w:evenHBand="1" w:firstRowFirstColumn="0" w:firstRowLastColumn="0" w:lastRowFirstColumn="0" w:lastRowLastColumn="0"/>
          <w:trHeight w:val="20"/>
        </w:trPr>
        <w:tc>
          <w:tcPr>
            <w:tcW w:w="514" w:type="pct"/>
            <w:vMerge/>
          </w:tcPr>
          <w:p w14:paraId="30AD490E" w14:textId="77777777" w:rsidR="00FB4EEE" w:rsidRDefault="00FB4EEE" w:rsidP="004F1B39"/>
        </w:tc>
        <w:tc>
          <w:tcPr>
            <w:tcW w:w="635" w:type="pct"/>
            <w:vMerge/>
          </w:tcPr>
          <w:p w14:paraId="02D85BFB" w14:textId="77777777" w:rsidR="00FB4EEE" w:rsidRPr="00703E7C" w:rsidRDefault="00FB4EEE" w:rsidP="004F1B39"/>
        </w:tc>
        <w:tc>
          <w:tcPr>
            <w:tcW w:w="989" w:type="pct"/>
            <w:vMerge/>
          </w:tcPr>
          <w:p w14:paraId="414D6102" w14:textId="77777777" w:rsidR="00FB4EEE" w:rsidRPr="00703E7C" w:rsidRDefault="00FB4EEE" w:rsidP="004F1B39"/>
        </w:tc>
        <w:tc>
          <w:tcPr>
            <w:tcW w:w="694" w:type="pct"/>
            <w:shd w:val="clear" w:color="auto" w:fill="auto"/>
          </w:tcPr>
          <w:p w14:paraId="508F65BD" w14:textId="24C31B99" w:rsidR="00FB4EEE" w:rsidRPr="003F525F" w:rsidRDefault="00FB4EEE" w:rsidP="004F1B39">
            <w:r>
              <w:t xml:space="preserve">State or </w:t>
            </w:r>
            <w:r w:rsidR="00B877F0">
              <w:t>t</w:t>
            </w:r>
            <w:r>
              <w:t>erritory</w:t>
            </w:r>
          </w:p>
        </w:tc>
        <w:tc>
          <w:tcPr>
            <w:tcW w:w="2167" w:type="pct"/>
            <w:shd w:val="clear" w:color="auto" w:fill="auto"/>
          </w:tcPr>
          <w:p w14:paraId="283EF69A" w14:textId="77777777" w:rsidR="00FB4EEE" w:rsidRDefault="7B60CC16" w:rsidP="004F1B39">
            <w:pPr>
              <w:pStyle w:val="Tablebodytext"/>
            </w:pPr>
            <w:r>
              <w:t>Pre-season planning:</w:t>
            </w:r>
          </w:p>
          <w:p w14:paraId="12873DDA" w14:textId="77777777" w:rsidR="00FB4EEE" w:rsidRDefault="7B60CC16" w:rsidP="004F1B39">
            <w:pPr>
              <w:pStyle w:val="ListBullet"/>
            </w:pPr>
            <w:r>
              <w:t>Assess heatwave risk and identify vulnerable groups drawing on available data.</w:t>
            </w:r>
          </w:p>
          <w:p w14:paraId="695C87BE" w14:textId="77777777" w:rsidR="00FB4EEE" w:rsidRDefault="7B60CC16" w:rsidP="004F1B39">
            <w:pPr>
              <w:pStyle w:val="ListBullet"/>
            </w:pPr>
            <w:r>
              <w:t>Develop strategies to mitigate risk, potentially including participatory planning with communities and industry.</w:t>
            </w:r>
          </w:p>
          <w:p w14:paraId="1DD08308" w14:textId="77777777" w:rsidR="00FB4EEE" w:rsidRDefault="7B60CC16" w:rsidP="004F1B39">
            <w:pPr>
              <w:pStyle w:val="ListBullet"/>
            </w:pPr>
            <w:r>
              <w:t xml:space="preserve">Pre-season public and industry preparedness and awareness campaigns including: </w:t>
            </w:r>
          </w:p>
          <w:p w14:paraId="633F78CF" w14:textId="3DA243E0" w:rsidR="00FB4EEE" w:rsidRDefault="7B60CC16" w:rsidP="004F1B39">
            <w:pPr>
              <w:pStyle w:val="ListBullet2"/>
            </w:pPr>
            <w:r>
              <w:t>Inform the community of their heatwave risk</w:t>
            </w:r>
            <w:r w:rsidR="3A89FE4F">
              <w:t>.</w:t>
            </w:r>
            <w:r>
              <w:t xml:space="preserve"> </w:t>
            </w:r>
          </w:p>
          <w:p w14:paraId="150A922A" w14:textId="77777777" w:rsidR="00FB4EEE" w:rsidRDefault="7B60CC16" w:rsidP="004F1B39">
            <w:pPr>
              <w:pStyle w:val="ListBullet2"/>
            </w:pPr>
            <w:r>
              <w:t>Provide heatwave advice to the community including vulnerable groups.</w:t>
            </w:r>
          </w:p>
          <w:p w14:paraId="51961D7D" w14:textId="77777777" w:rsidR="00FB4EEE" w:rsidRDefault="7B60CC16" w:rsidP="004F1B39">
            <w:pPr>
              <w:pStyle w:val="ListBullet2"/>
            </w:pPr>
            <w:r>
              <w:lastRenderedPageBreak/>
              <w:t>Facilitate message sharing by third parties (for example: the Department of Health National Incident Room, aged care providers, relevant health networks).</w:t>
            </w:r>
          </w:p>
          <w:p w14:paraId="06F62226" w14:textId="77777777" w:rsidR="00FB4EEE" w:rsidRPr="003F525F" w:rsidRDefault="7B60CC16" w:rsidP="004F1B39">
            <w:pPr>
              <w:pStyle w:val="ListBullet2"/>
            </w:pPr>
            <w:r>
              <w:t>Provide targeted information for relevant sectors, such as the water, power and telecommunication sectors.</w:t>
            </w:r>
          </w:p>
        </w:tc>
      </w:tr>
      <w:tr w:rsidR="00FB4EEE" w:rsidRPr="003F525F" w14:paraId="3BA6A2B9" w14:textId="77777777" w:rsidTr="674B62DA">
        <w:trPr>
          <w:cnfStyle w:val="000000100000" w:firstRow="0" w:lastRow="0" w:firstColumn="0" w:lastColumn="0" w:oddVBand="0" w:evenVBand="0" w:oddHBand="1" w:evenHBand="0" w:firstRowFirstColumn="0" w:firstRowLastColumn="0" w:lastRowFirstColumn="0" w:lastRowLastColumn="0"/>
          <w:trHeight w:val="20"/>
        </w:trPr>
        <w:tc>
          <w:tcPr>
            <w:tcW w:w="514" w:type="pct"/>
            <w:vMerge/>
          </w:tcPr>
          <w:p w14:paraId="39750F70" w14:textId="77777777" w:rsidR="00FB4EEE" w:rsidRDefault="00FB4EEE" w:rsidP="004F1B39"/>
        </w:tc>
        <w:tc>
          <w:tcPr>
            <w:tcW w:w="635" w:type="pct"/>
            <w:vMerge w:val="restart"/>
            <w:shd w:val="clear" w:color="auto" w:fill="auto"/>
          </w:tcPr>
          <w:p w14:paraId="5ADE1D65" w14:textId="77777777" w:rsidR="00FB4EEE" w:rsidRPr="00703E7C" w:rsidRDefault="00FB4EEE" w:rsidP="004F1B39">
            <w:r>
              <w:t>Organisational readiness to warn</w:t>
            </w:r>
          </w:p>
        </w:tc>
        <w:tc>
          <w:tcPr>
            <w:tcW w:w="989" w:type="pct"/>
            <w:vMerge w:val="restart"/>
            <w:shd w:val="clear" w:color="auto" w:fill="auto"/>
          </w:tcPr>
          <w:p w14:paraId="161A8023" w14:textId="77777777" w:rsidR="00FB4EEE" w:rsidRPr="00703E7C" w:rsidRDefault="7B60CC16" w:rsidP="004F1B39">
            <w:r>
              <w:t>Organisational capability, systems and arrangements in place to warn effectively</w:t>
            </w:r>
          </w:p>
        </w:tc>
        <w:tc>
          <w:tcPr>
            <w:tcW w:w="694" w:type="pct"/>
            <w:shd w:val="clear" w:color="auto" w:fill="auto"/>
          </w:tcPr>
          <w:p w14:paraId="11B28D65" w14:textId="77777777" w:rsidR="00FB4EEE" w:rsidRDefault="00FB4EEE" w:rsidP="004F1B39">
            <w:r>
              <w:t>Bureau</w:t>
            </w:r>
          </w:p>
        </w:tc>
        <w:tc>
          <w:tcPr>
            <w:tcW w:w="2167" w:type="pct"/>
            <w:shd w:val="clear" w:color="auto" w:fill="auto"/>
          </w:tcPr>
          <w:p w14:paraId="09E70488" w14:textId="51D15568" w:rsidR="00FB4EEE" w:rsidRDefault="7B60CC16" w:rsidP="004F1B39">
            <w:pPr>
              <w:pStyle w:val="ListBullet"/>
            </w:pPr>
            <w:r>
              <w:t>Ensure that roles and responsibilities</w:t>
            </w:r>
            <w:r w:rsidR="3A89FE4F">
              <w:t>,</w:t>
            </w:r>
            <w:r>
              <w:t xml:space="preserve"> as defined in this Heatwave Warning Framework are acknowledged amongst TWS partners.</w:t>
            </w:r>
          </w:p>
          <w:p w14:paraId="7EA588A7" w14:textId="77777777" w:rsidR="00FB4EEE" w:rsidRDefault="7B60CC16" w:rsidP="004F1B39">
            <w:pPr>
              <w:pStyle w:val="ListBullet"/>
            </w:pPr>
            <w:r>
              <w:t xml:space="preserve">Ensure that necessary systems and capabilities are operationally ready and tested. </w:t>
            </w:r>
          </w:p>
          <w:p w14:paraId="2F78782A" w14:textId="0F3FC0BF" w:rsidR="00FB4EEE" w:rsidRDefault="7B60CC16" w:rsidP="004F1B39">
            <w:pPr>
              <w:pStyle w:val="ListBullet"/>
            </w:pPr>
            <w:r>
              <w:t>Warning lead times should allow for immediate and short-term community responses</w:t>
            </w:r>
            <w:r w:rsidR="3A89FE4F">
              <w:t>.</w:t>
            </w:r>
          </w:p>
        </w:tc>
      </w:tr>
      <w:tr w:rsidR="00FB4EEE" w:rsidRPr="003F525F" w14:paraId="594C1697" w14:textId="77777777" w:rsidTr="674B62DA">
        <w:trPr>
          <w:cnfStyle w:val="000000010000" w:firstRow="0" w:lastRow="0" w:firstColumn="0" w:lastColumn="0" w:oddVBand="0" w:evenVBand="0" w:oddHBand="0" w:evenHBand="1" w:firstRowFirstColumn="0" w:firstRowLastColumn="0" w:lastRowFirstColumn="0" w:lastRowLastColumn="0"/>
          <w:trHeight w:val="20"/>
        </w:trPr>
        <w:tc>
          <w:tcPr>
            <w:tcW w:w="514" w:type="pct"/>
            <w:vMerge/>
          </w:tcPr>
          <w:p w14:paraId="02BD6748" w14:textId="77777777" w:rsidR="00FB4EEE" w:rsidRDefault="00FB4EEE" w:rsidP="004F1B39"/>
        </w:tc>
        <w:tc>
          <w:tcPr>
            <w:tcW w:w="635" w:type="pct"/>
            <w:vMerge/>
          </w:tcPr>
          <w:p w14:paraId="372FE0FD" w14:textId="77777777" w:rsidR="00FB4EEE" w:rsidRPr="00703E7C" w:rsidRDefault="00FB4EEE" w:rsidP="004F1B39"/>
        </w:tc>
        <w:tc>
          <w:tcPr>
            <w:tcW w:w="989" w:type="pct"/>
            <w:vMerge/>
          </w:tcPr>
          <w:p w14:paraId="42D72DB8" w14:textId="77777777" w:rsidR="00FB4EEE" w:rsidRPr="00703E7C" w:rsidRDefault="00FB4EEE" w:rsidP="004F1B39"/>
        </w:tc>
        <w:tc>
          <w:tcPr>
            <w:tcW w:w="694" w:type="pct"/>
            <w:shd w:val="clear" w:color="auto" w:fill="auto"/>
          </w:tcPr>
          <w:p w14:paraId="5401B439" w14:textId="66C66AB1" w:rsidR="00FB4EEE" w:rsidRDefault="00FB4EEE" w:rsidP="004F1B39">
            <w:r>
              <w:t xml:space="preserve">State or </w:t>
            </w:r>
            <w:r w:rsidR="00B877F0">
              <w:t>t</w:t>
            </w:r>
            <w:r>
              <w:t>erritory</w:t>
            </w:r>
          </w:p>
        </w:tc>
        <w:tc>
          <w:tcPr>
            <w:tcW w:w="2167" w:type="pct"/>
            <w:shd w:val="clear" w:color="auto" w:fill="auto"/>
          </w:tcPr>
          <w:p w14:paraId="606BDA61" w14:textId="1A682EAB" w:rsidR="00FB4EEE" w:rsidRDefault="7B60CC16" w:rsidP="004F1B39">
            <w:pPr>
              <w:pStyle w:val="ListBullet"/>
            </w:pPr>
            <w:r>
              <w:t>Ensure that roles and responsibilities</w:t>
            </w:r>
            <w:r w:rsidR="3A89FE4F">
              <w:t>,</w:t>
            </w:r>
            <w:r>
              <w:t xml:space="preserve"> as defined in this Heatwave Warning Framework</w:t>
            </w:r>
            <w:r w:rsidR="3A89FE4F">
              <w:t>,</w:t>
            </w:r>
            <w:r>
              <w:t xml:space="preserve"> are acknowledged amongst TWS partners.</w:t>
            </w:r>
          </w:p>
          <w:p w14:paraId="24A595C1" w14:textId="77777777" w:rsidR="00FB4EEE" w:rsidRDefault="7B60CC16" w:rsidP="004F1B39">
            <w:pPr>
              <w:pStyle w:val="ListBullet"/>
            </w:pPr>
            <w:r>
              <w:t xml:space="preserve">Ensure that necessary systems and capabilities are operationally ready and tested. </w:t>
            </w:r>
          </w:p>
          <w:p w14:paraId="7F6ED0C5" w14:textId="77777777" w:rsidR="00FB4EEE" w:rsidRDefault="7B60CC16" w:rsidP="004F1B39">
            <w:pPr>
              <w:pStyle w:val="ListBullet"/>
            </w:pPr>
            <w:r>
              <w:t>Warning triggers and thresholds for issuing warnings should reflect the needs of key stakeholders, including industry, and be identified in state and territory planning.</w:t>
            </w:r>
          </w:p>
        </w:tc>
      </w:tr>
      <w:tr w:rsidR="00FB4EEE" w:rsidRPr="003F525F" w14:paraId="4A88003B" w14:textId="77777777" w:rsidTr="674B62DA">
        <w:trPr>
          <w:cnfStyle w:val="000000100000" w:firstRow="0" w:lastRow="0" w:firstColumn="0" w:lastColumn="0" w:oddVBand="0" w:evenVBand="0" w:oddHBand="1" w:evenHBand="0" w:firstRowFirstColumn="0" w:firstRowLastColumn="0" w:lastRowFirstColumn="0" w:lastRowLastColumn="0"/>
          <w:trHeight w:val="20"/>
        </w:trPr>
        <w:tc>
          <w:tcPr>
            <w:tcW w:w="514" w:type="pct"/>
            <w:vMerge w:val="restart"/>
            <w:shd w:val="clear" w:color="auto" w:fill="F2F2F2" w:themeFill="background1" w:themeFillShade="F2"/>
          </w:tcPr>
          <w:p w14:paraId="570B96F7" w14:textId="77777777" w:rsidR="00FB4EEE" w:rsidRDefault="00FB4EEE" w:rsidP="004F1B39">
            <w:r>
              <w:t>During</w:t>
            </w:r>
          </w:p>
        </w:tc>
        <w:tc>
          <w:tcPr>
            <w:tcW w:w="635" w:type="pct"/>
            <w:shd w:val="clear" w:color="auto" w:fill="F2F2F2" w:themeFill="background1" w:themeFillShade="F2"/>
          </w:tcPr>
          <w:p w14:paraId="72AB6216" w14:textId="77777777" w:rsidR="00FB4EEE" w:rsidRPr="00703E7C" w:rsidRDefault="00FB4EEE" w:rsidP="004F1B39">
            <w:r>
              <w:t>Monitoring and prediction</w:t>
            </w:r>
          </w:p>
        </w:tc>
        <w:tc>
          <w:tcPr>
            <w:tcW w:w="989" w:type="pct"/>
            <w:shd w:val="clear" w:color="auto" w:fill="F2F2F2" w:themeFill="background1" w:themeFillShade="F2"/>
          </w:tcPr>
          <w:p w14:paraId="33DED676" w14:textId="77777777" w:rsidR="00FB4EEE" w:rsidRPr="00703E7C" w:rsidRDefault="7B60CC16" w:rsidP="004F1B39">
            <w:r>
              <w:t>Detecting conditions that can lead to heat related illness and predicting the likelihood, timing, level and nature of impact</w:t>
            </w:r>
          </w:p>
        </w:tc>
        <w:tc>
          <w:tcPr>
            <w:tcW w:w="694" w:type="pct"/>
            <w:shd w:val="clear" w:color="auto" w:fill="F2F2F2" w:themeFill="background1" w:themeFillShade="F2"/>
          </w:tcPr>
          <w:p w14:paraId="06D63913" w14:textId="77777777" w:rsidR="00FB4EEE" w:rsidRDefault="00FB4EEE" w:rsidP="004F1B39">
            <w:r>
              <w:t>Bureau</w:t>
            </w:r>
          </w:p>
        </w:tc>
        <w:tc>
          <w:tcPr>
            <w:tcW w:w="2167" w:type="pct"/>
            <w:shd w:val="clear" w:color="auto" w:fill="F2F2F2" w:themeFill="background1" w:themeFillShade="F2"/>
          </w:tcPr>
          <w:p w14:paraId="635836F6" w14:textId="77777777" w:rsidR="00FB4EEE" w:rsidRDefault="7B60CC16" w:rsidP="004F1B39">
            <w:pPr>
              <w:pStyle w:val="ListBullet"/>
            </w:pPr>
            <w:r>
              <w:t>Weather conditions monitored for the likelihood of heatwave (as defined by the EHF) using the national weather observation network and available suite of numerical weather prediction models and tools.</w:t>
            </w:r>
          </w:p>
          <w:p w14:paraId="4A4169E3" w14:textId="77777777" w:rsidR="00FB4EEE" w:rsidRDefault="7B60CC16" w:rsidP="004F1B39">
            <w:pPr>
              <w:pStyle w:val="ListBullet"/>
            </w:pPr>
            <w:r>
              <w:t>Heatwave warning criteria (EHF severity thresholds and warning lead times) available nationally.</w:t>
            </w:r>
          </w:p>
        </w:tc>
      </w:tr>
      <w:tr w:rsidR="00FB4EEE" w:rsidRPr="003F525F" w14:paraId="0F9AD2F6" w14:textId="77777777" w:rsidTr="674B62DA">
        <w:trPr>
          <w:cnfStyle w:val="000000010000" w:firstRow="0" w:lastRow="0" w:firstColumn="0" w:lastColumn="0" w:oddVBand="0" w:evenVBand="0" w:oddHBand="0" w:evenHBand="1" w:firstRowFirstColumn="0" w:firstRowLastColumn="0" w:lastRowFirstColumn="0" w:lastRowLastColumn="0"/>
          <w:trHeight w:val="20"/>
        </w:trPr>
        <w:tc>
          <w:tcPr>
            <w:tcW w:w="514" w:type="pct"/>
            <w:vMerge/>
          </w:tcPr>
          <w:p w14:paraId="5E7DBE4F" w14:textId="77777777" w:rsidR="00FB4EEE" w:rsidRDefault="00FB4EEE" w:rsidP="004F1B39"/>
        </w:tc>
        <w:tc>
          <w:tcPr>
            <w:tcW w:w="635" w:type="pct"/>
            <w:shd w:val="clear" w:color="auto" w:fill="F2F2F2" w:themeFill="background1" w:themeFillShade="F2"/>
          </w:tcPr>
          <w:p w14:paraId="18FAC59A" w14:textId="77777777" w:rsidR="00FB4EEE" w:rsidRPr="00703E7C" w:rsidRDefault="00FB4EEE" w:rsidP="004F1B39">
            <w:r>
              <w:t>Interpretation</w:t>
            </w:r>
          </w:p>
        </w:tc>
        <w:tc>
          <w:tcPr>
            <w:tcW w:w="989" w:type="pct"/>
            <w:shd w:val="clear" w:color="auto" w:fill="F2F2F2" w:themeFill="background1" w:themeFillShade="F2"/>
          </w:tcPr>
          <w:p w14:paraId="677B63CF" w14:textId="77777777" w:rsidR="00FB4EEE" w:rsidRPr="00703E7C" w:rsidRDefault="00FB4EEE" w:rsidP="004F1B39">
            <w:r w:rsidRPr="00826F53">
              <w:t>Understanding the impact as predicted and deciding whether and how to warn</w:t>
            </w:r>
          </w:p>
        </w:tc>
        <w:tc>
          <w:tcPr>
            <w:tcW w:w="694" w:type="pct"/>
            <w:shd w:val="clear" w:color="auto" w:fill="F2F2F2" w:themeFill="background1" w:themeFillShade="F2"/>
          </w:tcPr>
          <w:p w14:paraId="03B0E541" w14:textId="29D30D45" w:rsidR="00FB4EEE" w:rsidRDefault="00FB4EEE" w:rsidP="004F1B39">
            <w:r>
              <w:t xml:space="preserve">State or </w:t>
            </w:r>
            <w:r w:rsidR="00B877F0">
              <w:t>t</w:t>
            </w:r>
            <w:r>
              <w:t>erritory</w:t>
            </w:r>
          </w:p>
        </w:tc>
        <w:tc>
          <w:tcPr>
            <w:tcW w:w="2167" w:type="pct"/>
            <w:shd w:val="clear" w:color="auto" w:fill="F2F2F2" w:themeFill="background1" w:themeFillShade="F2"/>
          </w:tcPr>
          <w:p w14:paraId="3457950D" w14:textId="77777777" w:rsidR="00FB4EEE" w:rsidRDefault="7B60CC16" w:rsidP="004F1B39">
            <w:pPr>
              <w:pStyle w:val="ListBullet"/>
            </w:pPr>
            <w:r>
              <w:t>Systems and processes in place to understand impacts of heatwaves at differing severity levels.</w:t>
            </w:r>
          </w:p>
          <w:p w14:paraId="1EFDF488" w14:textId="3C3E4FA5" w:rsidR="00FB4EEE" w:rsidRDefault="7B60CC16" w:rsidP="004F1B39">
            <w:pPr>
              <w:pStyle w:val="ListBullet"/>
            </w:pPr>
            <w:r>
              <w:t>Warning decisions</w:t>
            </w:r>
            <w:r w:rsidR="445C0831">
              <w:t>,</w:t>
            </w:r>
            <w:r>
              <w:t xml:space="preserve"> whether and how to warn</w:t>
            </w:r>
            <w:r w:rsidR="445C0831">
              <w:t>,</w:t>
            </w:r>
            <w:r>
              <w:t xml:space="preserve"> predetermined based on warning severity thresholds and lead times.</w:t>
            </w:r>
          </w:p>
        </w:tc>
      </w:tr>
      <w:tr w:rsidR="00FB4EEE" w:rsidRPr="003F525F" w14:paraId="5DC8CBF0" w14:textId="77777777" w:rsidTr="674B62DA">
        <w:trPr>
          <w:cnfStyle w:val="000000100000" w:firstRow="0" w:lastRow="0" w:firstColumn="0" w:lastColumn="0" w:oddVBand="0" w:evenVBand="0" w:oddHBand="1" w:evenHBand="0" w:firstRowFirstColumn="0" w:firstRowLastColumn="0" w:lastRowFirstColumn="0" w:lastRowLastColumn="0"/>
          <w:trHeight w:val="20"/>
        </w:trPr>
        <w:tc>
          <w:tcPr>
            <w:tcW w:w="514" w:type="pct"/>
            <w:vMerge/>
          </w:tcPr>
          <w:p w14:paraId="419BDAC5" w14:textId="77777777" w:rsidR="00FB4EEE" w:rsidRDefault="00FB4EEE" w:rsidP="004F1B39"/>
        </w:tc>
        <w:tc>
          <w:tcPr>
            <w:tcW w:w="635" w:type="pct"/>
            <w:vMerge w:val="restart"/>
            <w:shd w:val="clear" w:color="auto" w:fill="F2F2F2" w:themeFill="background1" w:themeFillShade="F2"/>
          </w:tcPr>
          <w:p w14:paraId="13248246" w14:textId="77777777" w:rsidR="00FB4EEE" w:rsidRPr="00703E7C" w:rsidRDefault="00FB4EEE" w:rsidP="004F1B39">
            <w:r w:rsidRPr="00826F53">
              <w:t>Message construction</w:t>
            </w:r>
          </w:p>
        </w:tc>
        <w:tc>
          <w:tcPr>
            <w:tcW w:w="989" w:type="pct"/>
            <w:vMerge w:val="restart"/>
            <w:shd w:val="clear" w:color="auto" w:fill="F2F2F2" w:themeFill="background1" w:themeFillShade="F2"/>
          </w:tcPr>
          <w:p w14:paraId="7AA66E93" w14:textId="77777777" w:rsidR="00FB4EEE" w:rsidRPr="00703E7C" w:rsidRDefault="00FB4EEE" w:rsidP="004F1B39">
            <w:r w:rsidRPr="00826F53">
              <w:t>Devising the content of a message to inform and warn people of their risk, including recommended or required action</w:t>
            </w:r>
          </w:p>
        </w:tc>
        <w:tc>
          <w:tcPr>
            <w:tcW w:w="694" w:type="pct"/>
            <w:shd w:val="clear" w:color="auto" w:fill="F2F2F2" w:themeFill="background1" w:themeFillShade="F2"/>
          </w:tcPr>
          <w:p w14:paraId="5DECF19D" w14:textId="77777777" w:rsidR="00FB4EEE" w:rsidRDefault="00FB4EEE" w:rsidP="004F1B39">
            <w:r>
              <w:t>Bureau</w:t>
            </w:r>
          </w:p>
        </w:tc>
        <w:tc>
          <w:tcPr>
            <w:tcW w:w="2167" w:type="pct"/>
            <w:shd w:val="clear" w:color="auto" w:fill="F2F2F2" w:themeFill="background1" w:themeFillShade="F2"/>
          </w:tcPr>
          <w:p w14:paraId="65FE09BF" w14:textId="77777777" w:rsidR="00FB4EEE" w:rsidRDefault="7B60CC16" w:rsidP="004F1B39">
            <w:pPr>
              <w:pStyle w:val="Tablebodytext"/>
            </w:pPr>
            <w:r>
              <w:t>Bureau heatwave warning using EHF severity and generalised safety messages as agreed in this Framework. The Bureau is responsible for status and forecast text.</w:t>
            </w:r>
          </w:p>
        </w:tc>
      </w:tr>
      <w:tr w:rsidR="00FB4EEE" w:rsidRPr="003F525F" w14:paraId="76F4182C" w14:textId="77777777" w:rsidTr="674B62DA">
        <w:trPr>
          <w:cnfStyle w:val="000000010000" w:firstRow="0" w:lastRow="0" w:firstColumn="0" w:lastColumn="0" w:oddVBand="0" w:evenVBand="0" w:oddHBand="0" w:evenHBand="1" w:firstRowFirstColumn="0" w:firstRowLastColumn="0" w:lastRowFirstColumn="0" w:lastRowLastColumn="0"/>
          <w:trHeight w:val="20"/>
        </w:trPr>
        <w:tc>
          <w:tcPr>
            <w:tcW w:w="514" w:type="pct"/>
            <w:vMerge/>
          </w:tcPr>
          <w:p w14:paraId="7B449112" w14:textId="77777777" w:rsidR="00FB4EEE" w:rsidRDefault="00FB4EEE" w:rsidP="004F1B39"/>
        </w:tc>
        <w:tc>
          <w:tcPr>
            <w:tcW w:w="635" w:type="pct"/>
            <w:vMerge/>
          </w:tcPr>
          <w:p w14:paraId="107E6C68" w14:textId="77777777" w:rsidR="00FB4EEE" w:rsidRPr="00703E7C" w:rsidRDefault="00FB4EEE" w:rsidP="004F1B39"/>
        </w:tc>
        <w:tc>
          <w:tcPr>
            <w:tcW w:w="989" w:type="pct"/>
            <w:vMerge/>
          </w:tcPr>
          <w:p w14:paraId="5D1197D6" w14:textId="77777777" w:rsidR="00FB4EEE" w:rsidRPr="00703E7C" w:rsidRDefault="00FB4EEE" w:rsidP="004F1B39"/>
        </w:tc>
        <w:tc>
          <w:tcPr>
            <w:tcW w:w="694" w:type="pct"/>
            <w:shd w:val="clear" w:color="auto" w:fill="F2F2F2" w:themeFill="background1" w:themeFillShade="F2"/>
          </w:tcPr>
          <w:p w14:paraId="06FAE694" w14:textId="3D824D86" w:rsidR="00FB4EEE" w:rsidRDefault="00FB4EEE" w:rsidP="004F1B39">
            <w:r>
              <w:t xml:space="preserve">State or </w:t>
            </w:r>
            <w:r w:rsidR="00B877F0">
              <w:t>t</w:t>
            </w:r>
            <w:r>
              <w:t>erritory</w:t>
            </w:r>
          </w:p>
        </w:tc>
        <w:tc>
          <w:tcPr>
            <w:tcW w:w="2167" w:type="pct"/>
            <w:shd w:val="clear" w:color="auto" w:fill="F2F2F2" w:themeFill="background1" w:themeFillShade="F2"/>
          </w:tcPr>
          <w:p w14:paraId="626C7C94" w14:textId="79D479D8" w:rsidR="00452117" w:rsidRDefault="7B60CC16" w:rsidP="004F1B39">
            <w:pPr>
              <w:pStyle w:val="Tablebodytext"/>
            </w:pPr>
            <w:r>
              <w:t>States and territories issue heatwave warning with AWS aligned severity level and tailored safety advice.</w:t>
            </w:r>
          </w:p>
        </w:tc>
      </w:tr>
      <w:tr w:rsidR="00FB4EEE" w:rsidRPr="003F525F" w14:paraId="35FC9196" w14:textId="77777777" w:rsidTr="674B62DA">
        <w:trPr>
          <w:cnfStyle w:val="000000100000" w:firstRow="0" w:lastRow="0" w:firstColumn="0" w:lastColumn="0" w:oddVBand="0" w:evenVBand="0" w:oddHBand="1" w:evenHBand="0" w:firstRowFirstColumn="0" w:firstRowLastColumn="0" w:lastRowFirstColumn="0" w:lastRowLastColumn="0"/>
          <w:trHeight w:val="20"/>
        </w:trPr>
        <w:tc>
          <w:tcPr>
            <w:tcW w:w="514" w:type="pct"/>
            <w:vMerge/>
          </w:tcPr>
          <w:p w14:paraId="0D504B18" w14:textId="77777777" w:rsidR="00FB4EEE" w:rsidRDefault="00FB4EEE" w:rsidP="004F1B39"/>
        </w:tc>
        <w:tc>
          <w:tcPr>
            <w:tcW w:w="635" w:type="pct"/>
            <w:vMerge w:val="restart"/>
            <w:shd w:val="clear" w:color="auto" w:fill="F2F2F2" w:themeFill="background1" w:themeFillShade="F2"/>
          </w:tcPr>
          <w:p w14:paraId="5C5D9BFA" w14:textId="77777777" w:rsidR="00FB4EEE" w:rsidRPr="00703E7C" w:rsidRDefault="00FB4EEE" w:rsidP="004F1B39">
            <w:r>
              <w:t>Communication</w:t>
            </w:r>
          </w:p>
        </w:tc>
        <w:tc>
          <w:tcPr>
            <w:tcW w:w="989" w:type="pct"/>
            <w:vMerge w:val="restart"/>
            <w:shd w:val="clear" w:color="auto" w:fill="F2F2F2" w:themeFill="background1" w:themeFillShade="F2"/>
          </w:tcPr>
          <w:p w14:paraId="0E35B1DF" w14:textId="77777777" w:rsidR="00FB4EEE" w:rsidRPr="00703E7C" w:rsidRDefault="7B60CC16" w:rsidP="004F1B39">
            <w:r>
              <w:t>Disseminating timely, targeted and tailored warnings through multiple channels to all who may be affected.</w:t>
            </w:r>
          </w:p>
        </w:tc>
        <w:tc>
          <w:tcPr>
            <w:tcW w:w="694" w:type="pct"/>
            <w:shd w:val="clear" w:color="auto" w:fill="F2F2F2" w:themeFill="background1" w:themeFillShade="F2"/>
          </w:tcPr>
          <w:p w14:paraId="3CF568A4" w14:textId="77777777" w:rsidR="00FB4EEE" w:rsidRDefault="00FB4EEE" w:rsidP="004F1B39">
            <w:r>
              <w:t>Bureau</w:t>
            </w:r>
          </w:p>
        </w:tc>
        <w:tc>
          <w:tcPr>
            <w:tcW w:w="2167" w:type="pct"/>
            <w:shd w:val="clear" w:color="auto" w:fill="F2F2F2" w:themeFill="background1" w:themeFillShade="F2"/>
          </w:tcPr>
          <w:p w14:paraId="2DBC30FF" w14:textId="77777777" w:rsidR="00FB4EEE" w:rsidRDefault="7B60CC16" w:rsidP="004F1B39">
            <w:pPr>
              <w:pStyle w:val="ListBullet"/>
            </w:pPr>
            <w:r>
              <w:t>Warning lead times should allow for immediate and short-term mitigation actions.</w:t>
            </w:r>
          </w:p>
          <w:p w14:paraId="27B0832D" w14:textId="77777777" w:rsidR="00FB4EEE" w:rsidRDefault="7B60CC16" w:rsidP="004F1B39">
            <w:pPr>
              <w:pStyle w:val="ListBullet"/>
            </w:pPr>
            <w:r>
              <w:t>Bureau to share with states and territories the forecast certainty related to lead times required by partners and the community.</w:t>
            </w:r>
          </w:p>
          <w:p w14:paraId="39A51556" w14:textId="7AF118A4" w:rsidR="00FB4EEE" w:rsidRDefault="7B60CC16" w:rsidP="004F1B39">
            <w:pPr>
              <w:pStyle w:val="ListBullet"/>
            </w:pPr>
            <w:r>
              <w:t>Heatwave warnings disseminated via</w:t>
            </w:r>
            <w:r w:rsidR="445C0831">
              <w:t>:</w:t>
            </w:r>
            <w:r>
              <w:t xml:space="preserve"> </w:t>
            </w:r>
          </w:p>
          <w:p w14:paraId="0D3062BB" w14:textId="4243A615" w:rsidR="00FB4EEE" w:rsidRDefault="7B60CC16" w:rsidP="004F1B39">
            <w:pPr>
              <w:pStyle w:val="ListBullet2"/>
            </w:pPr>
            <w:r>
              <w:t>RSS feed in accordance with CAP-Au practices (see Appendix E)</w:t>
            </w:r>
            <w:r w:rsidR="445C0831">
              <w:t>.</w:t>
            </w:r>
          </w:p>
          <w:p w14:paraId="14485549" w14:textId="30B10FC2" w:rsidR="00FB4EEE" w:rsidRDefault="7B60CC16" w:rsidP="004F1B39">
            <w:pPr>
              <w:pStyle w:val="ListBullet2"/>
            </w:pPr>
            <w:r>
              <w:t>Bureau distribution networks, include the Bureau’s website and apps and other agreed channels to targeted audiences</w:t>
            </w:r>
            <w:r w:rsidR="445C0831">
              <w:t xml:space="preserve">, for example </w:t>
            </w:r>
            <w:r>
              <w:t>health and emergency service agencies and the media.</w:t>
            </w:r>
          </w:p>
        </w:tc>
      </w:tr>
      <w:tr w:rsidR="00FB4EEE" w:rsidRPr="003F525F" w14:paraId="2FA44F19" w14:textId="77777777" w:rsidTr="674B62DA">
        <w:trPr>
          <w:cnfStyle w:val="000000010000" w:firstRow="0" w:lastRow="0" w:firstColumn="0" w:lastColumn="0" w:oddVBand="0" w:evenVBand="0" w:oddHBand="0" w:evenHBand="1" w:firstRowFirstColumn="0" w:firstRowLastColumn="0" w:lastRowFirstColumn="0" w:lastRowLastColumn="0"/>
          <w:trHeight w:val="20"/>
        </w:trPr>
        <w:tc>
          <w:tcPr>
            <w:tcW w:w="514" w:type="pct"/>
            <w:vMerge/>
          </w:tcPr>
          <w:p w14:paraId="3569E695" w14:textId="77777777" w:rsidR="00FB4EEE" w:rsidRDefault="00FB4EEE" w:rsidP="004F1B39"/>
        </w:tc>
        <w:tc>
          <w:tcPr>
            <w:tcW w:w="635" w:type="pct"/>
            <w:vMerge/>
          </w:tcPr>
          <w:p w14:paraId="3ABFB9B9" w14:textId="77777777" w:rsidR="00FB4EEE" w:rsidRPr="00703E7C" w:rsidRDefault="00FB4EEE" w:rsidP="004F1B39"/>
        </w:tc>
        <w:tc>
          <w:tcPr>
            <w:tcW w:w="989" w:type="pct"/>
            <w:vMerge/>
          </w:tcPr>
          <w:p w14:paraId="6844AEA5" w14:textId="77777777" w:rsidR="00FB4EEE" w:rsidRPr="00703E7C" w:rsidRDefault="00FB4EEE" w:rsidP="004F1B39"/>
        </w:tc>
        <w:tc>
          <w:tcPr>
            <w:tcW w:w="694" w:type="pct"/>
            <w:shd w:val="clear" w:color="auto" w:fill="F2F2F2" w:themeFill="background1" w:themeFillShade="F2"/>
          </w:tcPr>
          <w:p w14:paraId="2DECD1E0" w14:textId="13B64731" w:rsidR="00FB4EEE" w:rsidRDefault="00FB4EEE" w:rsidP="004F1B39">
            <w:r>
              <w:t xml:space="preserve">State or </w:t>
            </w:r>
            <w:r w:rsidR="00452117">
              <w:t>t</w:t>
            </w:r>
            <w:r>
              <w:t>erritory</w:t>
            </w:r>
          </w:p>
        </w:tc>
        <w:tc>
          <w:tcPr>
            <w:tcW w:w="2167" w:type="pct"/>
            <w:shd w:val="clear" w:color="auto" w:fill="F2F2F2" w:themeFill="background1" w:themeFillShade="F2"/>
          </w:tcPr>
          <w:p w14:paraId="713C415C" w14:textId="7241FFAD" w:rsidR="00FB4EEE" w:rsidRDefault="7B60CC16" w:rsidP="004F1B39">
            <w:pPr>
              <w:pStyle w:val="Tablebodytext"/>
            </w:pPr>
            <w:r>
              <w:t>Heatwave warnings disseminated via state and territory distribution networks using multiple channels to relevant audiences</w:t>
            </w:r>
            <w:r w:rsidR="445C0831">
              <w:t>, for example</w:t>
            </w:r>
            <w:r>
              <w:t xml:space="preserve"> hospitals, aged care facilities and the media.</w:t>
            </w:r>
          </w:p>
        </w:tc>
      </w:tr>
      <w:tr w:rsidR="00FB4EEE" w:rsidRPr="003F525F" w14:paraId="11C41F75" w14:textId="77777777" w:rsidTr="674B62DA">
        <w:trPr>
          <w:cnfStyle w:val="000000100000" w:firstRow="0" w:lastRow="0" w:firstColumn="0" w:lastColumn="0" w:oddVBand="0" w:evenVBand="0" w:oddHBand="1" w:evenHBand="0" w:firstRowFirstColumn="0" w:firstRowLastColumn="0" w:lastRowFirstColumn="0" w:lastRowLastColumn="0"/>
          <w:trHeight w:val="20"/>
        </w:trPr>
        <w:tc>
          <w:tcPr>
            <w:tcW w:w="514" w:type="pct"/>
            <w:vMerge/>
          </w:tcPr>
          <w:p w14:paraId="4D7B427B" w14:textId="77777777" w:rsidR="00FB4EEE" w:rsidRDefault="00FB4EEE" w:rsidP="004F1B39"/>
        </w:tc>
        <w:tc>
          <w:tcPr>
            <w:tcW w:w="635" w:type="pct"/>
            <w:shd w:val="clear" w:color="auto" w:fill="F2F2F2" w:themeFill="background1" w:themeFillShade="F2"/>
          </w:tcPr>
          <w:p w14:paraId="0CB23EB4" w14:textId="77777777" w:rsidR="00FB4EEE" w:rsidRPr="00703E7C" w:rsidRDefault="7B60CC16" w:rsidP="004F1B39">
            <w:r>
              <w:t>Community response – messages are received, interpreted and acted upon</w:t>
            </w:r>
          </w:p>
        </w:tc>
        <w:tc>
          <w:tcPr>
            <w:tcW w:w="989" w:type="pct"/>
            <w:shd w:val="clear" w:color="auto" w:fill="F2F2F2" w:themeFill="background1" w:themeFillShade="F2"/>
          </w:tcPr>
          <w:p w14:paraId="2D1C46F3" w14:textId="77777777" w:rsidR="00FB4EEE" w:rsidRPr="00703E7C" w:rsidRDefault="7B60CC16" w:rsidP="004F1B39">
            <w:r>
              <w:t>Seeking assurance communities have received, understood and are acting upon warnings</w:t>
            </w:r>
          </w:p>
        </w:tc>
        <w:tc>
          <w:tcPr>
            <w:tcW w:w="694" w:type="pct"/>
            <w:shd w:val="clear" w:color="auto" w:fill="F2F2F2" w:themeFill="background1" w:themeFillShade="F2"/>
          </w:tcPr>
          <w:p w14:paraId="30DA9DAA" w14:textId="68FA7EE4" w:rsidR="00FB4EEE" w:rsidRDefault="00FB4EEE" w:rsidP="004F1B39">
            <w:r>
              <w:t xml:space="preserve">State or </w:t>
            </w:r>
            <w:r w:rsidR="00452117">
              <w:t>t</w:t>
            </w:r>
            <w:r>
              <w:t>erritory</w:t>
            </w:r>
          </w:p>
        </w:tc>
        <w:tc>
          <w:tcPr>
            <w:tcW w:w="2167" w:type="pct"/>
            <w:shd w:val="clear" w:color="auto" w:fill="F2F2F2" w:themeFill="background1" w:themeFillShade="F2"/>
          </w:tcPr>
          <w:p w14:paraId="4DDF3DE0" w14:textId="77777777" w:rsidR="00FB4EEE" w:rsidRDefault="7B60CC16" w:rsidP="004F1B39">
            <w:pPr>
              <w:pStyle w:val="Tablebodytext"/>
            </w:pPr>
            <w:r>
              <w:t>Community prepared and ready to respond to warnings.</w:t>
            </w:r>
          </w:p>
          <w:p w14:paraId="0855A048" w14:textId="77777777" w:rsidR="00FB4EEE" w:rsidRDefault="7B60CC16" w:rsidP="004F1B39">
            <w:pPr>
              <w:pStyle w:val="Tablebodytext"/>
            </w:pPr>
            <w:r>
              <w:t xml:space="preserve">Where possible, real time incident monitoring data/information available to provide assurances that communities have received, understood and are acting upon warnings. Agencies should be able to provide assurance that services within their remit are acting in accordance with advice. </w:t>
            </w:r>
          </w:p>
          <w:p w14:paraId="57F29ED4" w14:textId="77777777" w:rsidR="00FB4EEE" w:rsidRDefault="7B60CC16" w:rsidP="004F1B39">
            <w:pPr>
              <w:pStyle w:val="Tablebodytext"/>
            </w:pPr>
            <w:r>
              <w:t>Shared incident monitoring information may be used to target and tailor further messaging to under responding communities. To the extent possible and the degree allowed under relevant legislation, incident monitoring data and information may be available to involved agencies, including monitoring community activities, syndromic surveillance of health impacts, monitoring communications channels.</w:t>
            </w:r>
          </w:p>
        </w:tc>
      </w:tr>
      <w:tr w:rsidR="00FB4EEE" w:rsidRPr="003F525F" w14:paraId="142C4862" w14:textId="77777777" w:rsidTr="674B62DA">
        <w:trPr>
          <w:cnfStyle w:val="000000010000" w:firstRow="0" w:lastRow="0" w:firstColumn="0" w:lastColumn="0" w:oddVBand="0" w:evenVBand="0" w:oddHBand="0" w:evenHBand="1" w:firstRowFirstColumn="0" w:firstRowLastColumn="0" w:lastRowFirstColumn="0" w:lastRowLastColumn="0"/>
          <w:trHeight w:val="20"/>
        </w:trPr>
        <w:tc>
          <w:tcPr>
            <w:tcW w:w="514" w:type="pct"/>
            <w:vMerge w:val="restart"/>
            <w:shd w:val="clear" w:color="auto" w:fill="auto"/>
          </w:tcPr>
          <w:p w14:paraId="2BF78952" w14:textId="77777777" w:rsidR="00FB4EEE" w:rsidRDefault="00FB4EEE" w:rsidP="004F1B39">
            <w:r>
              <w:t>After</w:t>
            </w:r>
          </w:p>
        </w:tc>
        <w:tc>
          <w:tcPr>
            <w:tcW w:w="635" w:type="pct"/>
            <w:vMerge w:val="restart"/>
            <w:shd w:val="clear" w:color="auto" w:fill="auto"/>
          </w:tcPr>
          <w:p w14:paraId="525BE302" w14:textId="77777777" w:rsidR="00FB4EEE" w:rsidRPr="00703E7C" w:rsidRDefault="00FB4EEE" w:rsidP="004F1B39">
            <w:r>
              <w:t>Continuous review and improvement</w:t>
            </w:r>
          </w:p>
        </w:tc>
        <w:tc>
          <w:tcPr>
            <w:tcW w:w="989" w:type="pct"/>
            <w:shd w:val="clear" w:color="auto" w:fill="auto"/>
          </w:tcPr>
          <w:p w14:paraId="2A20A3DC" w14:textId="77777777" w:rsidR="00FB4EEE" w:rsidRPr="00703E7C" w:rsidRDefault="00FB4EEE" w:rsidP="004F1B39"/>
        </w:tc>
        <w:tc>
          <w:tcPr>
            <w:tcW w:w="694" w:type="pct"/>
            <w:shd w:val="clear" w:color="auto" w:fill="auto"/>
          </w:tcPr>
          <w:p w14:paraId="413B0A7C" w14:textId="77777777" w:rsidR="00FB4EEE" w:rsidRDefault="00FB4EEE" w:rsidP="004F1B39">
            <w:r>
              <w:t>Bureau</w:t>
            </w:r>
          </w:p>
        </w:tc>
        <w:tc>
          <w:tcPr>
            <w:tcW w:w="2167" w:type="pct"/>
            <w:shd w:val="clear" w:color="auto" w:fill="auto"/>
          </w:tcPr>
          <w:p w14:paraId="110E0F8A" w14:textId="77777777" w:rsidR="00FB4EEE" w:rsidRDefault="7B60CC16" w:rsidP="004F1B39">
            <w:pPr>
              <w:pStyle w:val="Tablebodytext"/>
            </w:pPr>
            <w:r>
              <w:t>Post event verification that:</w:t>
            </w:r>
          </w:p>
          <w:p w14:paraId="6376E876" w14:textId="77777777" w:rsidR="00FB4EEE" w:rsidRDefault="7B60CC16" w:rsidP="004F1B39">
            <w:pPr>
              <w:pStyle w:val="ListBullet"/>
            </w:pPr>
            <w:r>
              <w:t>monitoring and prediction (forecasting) capability satisfies the requirements of the heatwave TWS (warning criteria/service levels)</w:t>
            </w:r>
          </w:p>
          <w:p w14:paraId="63C0F412" w14:textId="7DB6DCF4" w:rsidR="00FB4EEE" w:rsidRDefault="7B60CC16" w:rsidP="004F1B39">
            <w:pPr>
              <w:pStyle w:val="ListBullet"/>
            </w:pPr>
            <w:r>
              <w:t>communication</w:t>
            </w:r>
            <w:r w:rsidR="0298D54D">
              <w:t>,</w:t>
            </w:r>
            <w:r>
              <w:t xml:space="preserve"> dissemination and publishing of warning and situational awareness products satisfies the requirements of the heatwave TWS</w:t>
            </w:r>
            <w:r w:rsidR="0298D54D">
              <w:t>,</w:t>
            </w:r>
            <w:r>
              <w:t xml:space="preserve"> warning criteria/service levels</w:t>
            </w:r>
            <w:r w:rsidR="0298D54D">
              <w:t>.</w:t>
            </w:r>
          </w:p>
          <w:p w14:paraId="7C604461" w14:textId="3EF221AC" w:rsidR="00FB4EEE" w:rsidRDefault="7B60CC16" w:rsidP="004F1B39">
            <w:pPr>
              <w:pStyle w:val="Tablebodytext"/>
            </w:pPr>
            <w:r>
              <w:t>Post event learnings shared amongst TWS partners</w:t>
            </w:r>
            <w:r w:rsidR="0298D54D">
              <w:t>.</w:t>
            </w:r>
          </w:p>
        </w:tc>
      </w:tr>
      <w:tr w:rsidR="00FB4EEE" w:rsidRPr="003F525F" w14:paraId="7C39BFF9" w14:textId="77777777" w:rsidTr="674B62DA">
        <w:trPr>
          <w:cnfStyle w:val="000000100000" w:firstRow="0" w:lastRow="0" w:firstColumn="0" w:lastColumn="0" w:oddVBand="0" w:evenVBand="0" w:oddHBand="1" w:evenHBand="0" w:firstRowFirstColumn="0" w:firstRowLastColumn="0" w:lastRowFirstColumn="0" w:lastRowLastColumn="0"/>
          <w:trHeight w:val="20"/>
        </w:trPr>
        <w:tc>
          <w:tcPr>
            <w:tcW w:w="514" w:type="pct"/>
            <w:vMerge/>
          </w:tcPr>
          <w:p w14:paraId="01E196EC" w14:textId="77777777" w:rsidR="00FB4EEE" w:rsidRDefault="00FB4EEE" w:rsidP="004F1B39"/>
        </w:tc>
        <w:tc>
          <w:tcPr>
            <w:tcW w:w="635" w:type="pct"/>
            <w:vMerge/>
          </w:tcPr>
          <w:p w14:paraId="46677B81" w14:textId="77777777" w:rsidR="00FB4EEE" w:rsidRPr="00703E7C" w:rsidRDefault="00FB4EEE" w:rsidP="004F1B39"/>
        </w:tc>
        <w:tc>
          <w:tcPr>
            <w:tcW w:w="989" w:type="pct"/>
            <w:shd w:val="clear" w:color="auto" w:fill="auto"/>
          </w:tcPr>
          <w:p w14:paraId="0AF9DE4F" w14:textId="77777777" w:rsidR="00FB4EEE" w:rsidRPr="00703E7C" w:rsidRDefault="00FB4EEE" w:rsidP="004F1B39"/>
        </w:tc>
        <w:tc>
          <w:tcPr>
            <w:tcW w:w="694" w:type="pct"/>
            <w:shd w:val="clear" w:color="auto" w:fill="auto"/>
          </w:tcPr>
          <w:p w14:paraId="2ED22A08" w14:textId="6B4785FB" w:rsidR="00FB4EEE" w:rsidRDefault="00FB4EEE" w:rsidP="004F1B39">
            <w:r>
              <w:t xml:space="preserve">State or </w:t>
            </w:r>
            <w:r w:rsidR="003E61AA">
              <w:t>t</w:t>
            </w:r>
            <w:r>
              <w:t>erritory</w:t>
            </w:r>
          </w:p>
        </w:tc>
        <w:tc>
          <w:tcPr>
            <w:tcW w:w="2167" w:type="pct"/>
            <w:shd w:val="clear" w:color="auto" w:fill="auto"/>
          </w:tcPr>
          <w:p w14:paraId="4FA34AA0" w14:textId="77777777" w:rsidR="00FB4EEE" w:rsidRDefault="7B60CC16" w:rsidP="004F1B39">
            <w:pPr>
              <w:pStyle w:val="Tablebodytext"/>
            </w:pPr>
            <w:r>
              <w:t>Post event verification that:</w:t>
            </w:r>
          </w:p>
          <w:p w14:paraId="4672AE2C" w14:textId="1518EA24" w:rsidR="00FB4EEE" w:rsidRDefault="7B60CC16" w:rsidP="004F1B39">
            <w:pPr>
              <w:pStyle w:val="ListBullet"/>
            </w:pPr>
            <w:r>
              <w:t>EHF thresholds or equivalent used in state or territory correspond to intended and meaningful impacts</w:t>
            </w:r>
            <w:r w:rsidR="0298D54D">
              <w:t>.</w:t>
            </w:r>
          </w:p>
          <w:p w14:paraId="3890A3DA" w14:textId="79B7D52A" w:rsidR="00FB4EEE" w:rsidRDefault="7B60CC16" w:rsidP="004F1B39">
            <w:pPr>
              <w:pStyle w:val="ListBullet"/>
            </w:pPr>
            <w:r>
              <w:lastRenderedPageBreak/>
              <w:t>warning lead time provides sufficient time to allow individuals to take some protective action in response to heatwave events</w:t>
            </w:r>
            <w:r w:rsidR="0298D54D">
              <w:t>.</w:t>
            </w:r>
          </w:p>
          <w:p w14:paraId="1FEAC22E" w14:textId="41525B9C" w:rsidR="00FB4EEE" w:rsidRDefault="7B60CC16" w:rsidP="004F1B39">
            <w:pPr>
              <w:pStyle w:val="ListBullet"/>
            </w:pPr>
            <w:r>
              <w:t>message construction and community readiness sufficiently tailored and targeted to elicit desired community response</w:t>
            </w:r>
            <w:r w:rsidR="0298D54D">
              <w:t>.</w:t>
            </w:r>
          </w:p>
          <w:p w14:paraId="0C282C57" w14:textId="65624710" w:rsidR="00FB4EEE" w:rsidRDefault="7B60CC16" w:rsidP="004F1B39">
            <w:pPr>
              <w:pStyle w:val="Tablebodytext"/>
            </w:pPr>
            <w:r>
              <w:t>Post event learnings shared amongst TWS partners</w:t>
            </w:r>
            <w:r w:rsidR="0298D54D">
              <w:t>.</w:t>
            </w:r>
          </w:p>
        </w:tc>
      </w:tr>
      <w:tr w:rsidR="00FB4EEE" w:rsidRPr="003F525F" w14:paraId="4CB881F1" w14:textId="77777777" w:rsidTr="674B62DA">
        <w:trPr>
          <w:cnfStyle w:val="000000010000" w:firstRow="0" w:lastRow="0" w:firstColumn="0" w:lastColumn="0" w:oddVBand="0" w:evenVBand="0" w:oddHBand="0" w:evenHBand="1" w:firstRowFirstColumn="0" w:firstRowLastColumn="0" w:lastRowFirstColumn="0" w:lastRowLastColumn="0"/>
          <w:trHeight w:val="20"/>
        </w:trPr>
        <w:tc>
          <w:tcPr>
            <w:tcW w:w="514" w:type="pct"/>
            <w:vMerge/>
          </w:tcPr>
          <w:p w14:paraId="4E86A067" w14:textId="77777777" w:rsidR="00FB4EEE" w:rsidRDefault="00FB4EEE" w:rsidP="004F1B39"/>
        </w:tc>
        <w:tc>
          <w:tcPr>
            <w:tcW w:w="635" w:type="pct"/>
            <w:vMerge/>
          </w:tcPr>
          <w:p w14:paraId="1DC46D75" w14:textId="77777777" w:rsidR="00FB4EEE" w:rsidRPr="00703E7C" w:rsidRDefault="00FB4EEE" w:rsidP="004F1B39"/>
        </w:tc>
        <w:tc>
          <w:tcPr>
            <w:tcW w:w="989" w:type="pct"/>
            <w:shd w:val="clear" w:color="auto" w:fill="auto"/>
          </w:tcPr>
          <w:p w14:paraId="13A7D369" w14:textId="77777777" w:rsidR="00FB4EEE" w:rsidRPr="00703E7C" w:rsidRDefault="00FB4EEE" w:rsidP="004F1B39"/>
        </w:tc>
        <w:tc>
          <w:tcPr>
            <w:tcW w:w="694" w:type="pct"/>
            <w:shd w:val="clear" w:color="auto" w:fill="auto"/>
          </w:tcPr>
          <w:p w14:paraId="28661593" w14:textId="77777777" w:rsidR="00FB4EEE" w:rsidRDefault="00FB4EEE" w:rsidP="004F1B39">
            <w:r>
              <w:t xml:space="preserve">Bureau and </w:t>
            </w:r>
          </w:p>
          <w:p w14:paraId="6F56653E" w14:textId="31EBEC70" w:rsidR="00FB4EEE" w:rsidRDefault="00FB4EEE" w:rsidP="004F1B39">
            <w:r>
              <w:t xml:space="preserve">State or </w:t>
            </w:r>
            <w:r w:rsidR="003E61AA">
              <w:t>t</w:t>
            </w:r>
            <w:r>
              <w:t>erritory</w:t>
            </w:r>
          </w:p>
        </w:tc>
        <w:tc>
          <w:tcPr>
            <w:tcW w:w="2167" w:type="pct"/>
            <w:shd w:val="clear" w:color="auto" w:fill="auto"/>
          </w:tcPr>
          <w:p w14:paraId="6076E83E" w14:textId="77777777" w:rsidR="00FB4EEE" w:rsidRDefault="7B60CC16" w:rsidP="004F1B39">
            <w:pPr>
              <w:pStyle w:val="Tablebodytext"/>
            </w:pPr>
            <w:r>
              <w:t>Post event review and debrief including evaluation of all activities across the total warning system to continuously improve the delivery and effectiveness of warning service.</w:t>
            </w:r>
          </w:p>
        </w:tc>
      </w:tr>
      <w:tr w:rsidR="00FB4EEE" w:rsidRPr="003F525F" w14:paraId="13A44DE4" w14:textId="77777777" w:rsidTr="674B62DA">
        <w:trPr>
          <w:cnfStyle w:val="000000100000" w:firstRow="0" w:lastRow="0" w:firstColumn="0" w:lastColumn="0" w:oddVBand="0" w:evenVBand="0" w:oddHBand="1" w:evenHBand="0" w:firstRowFirstColumn="0" w:firstRowLastColumn="0" w:lastRowFirstColumn="0" w:lastRowLastColumn="0"/>
          <w:trHeight w:val="20"/>
        </w:trPr>
        <w:tc>
          <w:tcPr>
            <w:tcW w:w="514" w:type="pct"/>
            <w:vMerge/>
          </w:tcPr>
          <w:p w14:paraId="5D5DD836" w14:textId="77777777" w:rsidR="00FB4EEE" w:rsidRDefault="00FB4EEE" w:rsidP="004F1B39"/>
        </w:tc>
        <w:tc>
          <w:tcPr>
            <w:tcW w:w="635" w:type="pct"/>
            <w:shd w:val="clear" w:color="auto" w:fill="auto"/>
          </w:tcPr>
          <w:p w14:paraId="743C6B67" w14:textId="77777777" w:rsidR="00FB4EEE" w:rsidRPr="00703E7C" w:rsidRDefault="00FB4EEE" w:rsidP="004F1B39">
            <w:r w:rsidRPr="001165F1">
              <w:t>Feeding results into policy process to improve the national warning service</w:t>
            </w:r>
          </w:p>
        </w:tc>
        <w:tc>
          <w:tcPr>
            <w:tcW w:w="989" w:type="pct"/>
            <w:shd w:val="clear" w:color="auto" w:fill="auto"/>
          </w:tcPr>
          <w:p w14:paraId="4CF13BD0" w14:textId="77777777" w:rsidR="00FB4EEE" w:rsidRPr="00703E7C" w:rsidRDefault="00FB4EEE" w:rsidP="004F1B39"/>
        </w:tc>
        <w:tc>
          <w:tcPr>
            <w:tcW w:w="694" w:type="pct"/>
            <w:shd w:val="clear" w:color="auto" w:fill="auto"/>
          </w:tcPr>
          <w:p w14:paraId="5D907BE5" w14:textId="77777777" w:rsidR="00FB4EEE" w:rsidRDefault="00FB4EEE" w:rsidP="004F1B39">
            <w:r>
              <w:t xml:space="preserve">Bureau and </w:t>
            </w:r>
          </w:p>
          <w:p w14:paraId="0AEDD829" w14:textId="42DA6113" w:rsidR="00FB4EEE" w:rsidRDefault="00FB4EEE" w:rsidP="004F1B39">
            <w:r>
              <w:t xml:space="preserve">State or </w:t>
            </w:r>
            <w:r w:rsidR="003E61AA">
              <w:t>t</w:t>
            </w:r>
            <w:r>
              <w:t>erritory</w:t>
            </w:r>
          </w:p>
        </w:tc>
        <w:tc>
          <w:tcPr>
            <w:tcW w:w="2167" w:type="pct"/>
            <w:shd w:val="clear" w:color="auto" w:fill="auto"/>
          </w:tcPr>
          <w:p w14:paraId="618A59CF" w14:textId="77777777" w:rsidR="00FB4EEE" w:rsidRDefault="7B60CC16" w:rsidP="004F1B39">
            <w:pPr>
              <w:pStyle w:val="Tablebodytext"/>
              <w:keepNext/>
            </w:pPr>
            <w:r>
              <w:t xml:space="preserve">Identified service and process improvements should be widely disseminated to allow other agencies and jurisdictions to learn from the experience of others. </w:t>
            </w:r>
          </w:p>
        </w:tc>
      </w:tr>
    </w:tbl>
    <w:p w14:paraId="214CE8B0" w14:textId="77777777" w:rsidR="00FB4EEE" w:rsidRDefault="7B60CC16" w:rsidP="00FB4EEE">
      <w:pPr>
        <w:pStyle w:val="Caption"/>
      </w:pPr>
      <w:bookmarkStart w:id="70" w:name="_Toc150776940"/>
      <w:r>
        <w:t xml:space="preserve">Table </w:t>
      </w:r>
      <w:r w:rsidR="00FB4EEE">
        <w:fldChar w:fldCharType="begin"/>
      </w:r>
      <w:r w:rsidR="00FB4EEE">
        <w:instrText>SEQ Table \* ARABIC</w:instrText>
      </w:r>
      <w:r w:rsidR="00FB4EEE">
        <w:fldChar w:fldCharType="separate"/>
      </w:r>
      <w:r>
        <w:t>5</w:t>
      </w:r>
      <w:r w:rsidR="00FB4EEE">
        <w:fldChar w:fldCharType="end"/>
      </w:r>
      <w:r>
        <w:t>: Total Warning System: Heatwave Application</w:t>
      </w:r>
      <w:bookmarkEnd w:id="70"/>
    </w:p>
    <w:p w14:paraId="4AE9B73D" w14:textId="77777777" w:rsidR="00FB4EEE" w:rsidRDefault="00FB4EEE" w:rsidP="00FB4EEE"/>
    <w:p w14:paraId="1271FC67" w14:textId="77777777" w:rsidR="00FB4EEE" w:rsidRDefault="00FB4EEE" w:rsidP="00FB4EEE">
      <w:pPr>
        <w:sectPr w:rsidR="00FB4EEE" w:rsidSect="00FB4EEE">
          <w:pgSz w:w="16838" w:h="11906" w:orient="landscape"/>
          <w:pgMar w:top="1134" w:right="1666" w:bottom="1134" w:left="1418" w:header="709" w:footer="793" w:gutter="0"/>
          <w:cols w:space="708"/>
          <w:titlePg/>
          <w:docGrid w:linePitch="360"/>
        </w:sectPr>
      </w:pPr>
    </w:p>
    <w:p w14:paraId="78EFAC92" w14:textId="77777777" w:rsidR="00B43F16" w:rsidRDefault="6919A12E" w:rsidP="00B43F16">
      <w:pPr>
        <w:pStyle w:val="NumberedHeading2"/>
        <w:numPr>
          <w:ilvl w:val="0"/>
          <w:numId w:val="0"/>
        </w:numPr>
      </w:pPr>
      <w:bookmarkStart w:id="71" w:name="_Toc119931230"/>
      <w:bookmarkStart w:id="72" w:name="_Toc149899492"/>
      <w:bookmarkStart w:id="73" w:name="_Toc149907548"/>
      <w:r>
        <w:lastRenderedPageBreak/>
        <w:t>Appendix A – Authorising Environment for a National Heatwave Warning Framework</w:t>
      </w:r>
      <w:bookmarkEnd w:id="71"/>
      <w:bookmarkEnd w:id="72"/>
      <w:bookmarkEnd w:id="73"/>
    </w:p>
    <w:p w14:paraId="1DBC596C" w14:textId="77777777" w:rsidR="00B43F16" w:rsidRDefault="6919A12E" w:rsidP="00B43F16">
      <w:r>
        <w:t>Australia adopted the Sendai Framework at the Third United Nations World Conference on Disaster Risk Reduction in Sendai, Japan, on 18 March 2015. The Sendai Framework aims to achieve substantial reduction of disaster risk and losses in lives, livelihoods and health, as well as losses in the economic, physical, social cultural and environmental assets of persons, business, communities and the nation.</w:t>
      </w:r>
    </w:p>
    <w:p w14:paraId="5DBF4BCA" w14:textId="77777777" w:rsidR="00B43F16" w:rsidRDefault="00B43F16" w:rsidP="00B43F16">
      <w:r>
        <w:t>The National Disaster Risk Reduction Framework (NDRRF) was endorsed by the Ministerial Council for Police and Emergency Management on 28 June 2019. The NDRRF, which is informed by the Sendai Framework, sets out the foundational work to proactively reduce disaster risk now and into the future. It guides national, whole of society efforts to reduce disaster risk to minimise the loss and suffering caused by disasters.</w:t>
      </w:r>
    </w:p>
    <w:p w14:paraId="0ECB7022" w14:textId="4ECAEE51" w:rsidR="00B43F16" w:rsidRDefault="6919A12E" w:rsidP="00B43F16">
      <w:r>
        <w:t>The National Strategy for Disaster Resilience (NSDR) was adopted by the Council of Australian Governments in February 2011. The NSDR provides the basis to governments to shift from an emphasis on response and recovery from natural disasters to a greater focus on prevention, mitigation and preparedness. The NSDR acknowledges that all levels of government have a role in driving systemic change for greater resilience to disasters in Australia.</w:t>
      </w:r>
    </w:p>
    <w:p w14:paraId="2D998379" w14:textId="77777777" w:rsidR="00B43F16" w:rsidRDefault="00B43F16" w:rsidP="00B43F16">
      <w:r>
        <w:t>The Australia-New Zealand Emergency Management Committee (ANZEMC) works to influence and advocate for national policies and capabilities that reduce disaster risk, minimise the potential for harm and uphold public trust and confidence in emergency management matters. The ANZEMC supported the development of a national framework for consistent heatwave information and warnings.</w:t>
      </w:r>
    </w:p>
    <w:p w14:paraId="7555787E" w14:textId="77777777" w:rsidR="00B43F16" w:rsidRDefault="6919A12E" w:rsidP="00B43F16">
      <w:r>
        <w:t>The ANZEMC initiated a National Review of Warnings and Information (2014) which called for greater consistency in the development of warnings frameworks across jurisdictions and all hazards, with frameworks ﬂexible enough to accommodate the nuances in warning for the various hazards experienced in Australia. Further, with the call for agencies to formally consider using the Total Warning System in future warning frameworks, the Review draws an explicit connection between community preparedness and how it inﬂuences eﬀective response to warnings (EMV 2014).</w:t>
      </w:r>
    </w:p>
    <w:p w14:paraId="6AFC7B2C" w14:textId="6BB23321" w:rsidR="00B43F16" w:rsidRDefault="6919A12E" w:rsidP="00B43F16">
      <w:r>
        <w:t>On 31 October 2019, the Commissioners and Chief Officers Strategic Committee supported the development of the AWS, a national three level multi-hazard warning framework. This was based on the findings from a comprehensive social research project that provided the evidence base for the development of the AWS to communicate risk and subsequently increase community safety and promote desired protective behaviours.</w:t>
      </w:r>
    </w:p>
    <w:p w14:paraId="730E3B7F" w14:textId="77777777" w:rsidR="00B43F16" w:rsidRDefault="6919A12E" w:rsidP="00B43F16">
      <w:r>
        <w:t>The National Health Emergency Management Standing Committee (NHEMS)</w:t>
      </w:r>
      <w:r w:rsidR="00B43F16">
        <w:rPr>
          <w:rStyle w:val="FootnoteReference"/>
        </w:rPr>
        <w:footnoteReference w:id="2"/>
      </w:r>
      <w:r>
        <w:t xml:space="preserve"> of the Australian Health Protection Principal Committee (AHPPC) identified a need for a nationally consistent health sector heatwave policy.</w:t>
      </w:r>
    </w:p>
    <w:p w14:paraId="040D625D" w14:textId="77777777" w:rsidR="00B43F16" w:rsidRDefault="6919A12E" w:rsidP="00B43F16">
      <w:pPr>
        <w:pStyle w:val="NumberedHeading2"/>
        <w:numPr>
          <w:ilvl w:val="0"/>
          <w:numId w:val="0"/>
        </w:numPr>
      </w:pPr>
      <w:bookmarkStart w:id="74" w:name="_Toc119931231"/>
      <w:bookmarkStart w:id="75" w:name="_Toc149899493"/>
      <w:bookmarkStart w:id="76" w:name="_Toc149907549"/>
      <w:r>
        <w:lastRenderedPageBreak/>
        <w:t>Appendix B – Population groups that may be susceptible to heat-related illness</w:t>
      </w:r>
      <w:bookmarkEnd w:id="74"/>
      <w:bookmarkEnd w:id="75"/>
      <w:bookmarkEnd w:id="76"/>
    </w:p>
    <w:p w14:paraId="10833A91" w14:textId="2E606676" w:rsidR="00B43F16" w:rsidRDefault="00B43F16" w:rsidP="00B43F16">
      <w:r>
        <w:t>While heatwaves can affect anybody (</w:t>
      </w:r>
      <w:r w:rsidR="003E61AA">
        <w:t>BOM</w:t>
      </w:r>
      <w:r>
        <w:t>, 2022), the following population groups may be more likely to be susceptible to heat-related illness:</w:t>
      </w:r>
    </w:p>
    <w:p w14:paraId="156A89AC" w14:textId="77777777" w:rsidR="00B43F16" w:rsidRDefault="6919A12E" w:rsidP="00B43F16">
      <w:pPr>
        <w:pStyle w:val="ListBullet"/>
        <w:contextualSpacing w:val="0"/>
      </w:pPr>
      <w:r>
        <w:t>people aged over 65 years</w:t>
      </w:r>
    </w:p>
    <w:p w14:paraId="3330396B" w14:textId="43477EE1" w:rsidR="00B43F16" w:rsidRDefault="6919A12E" w:rsidP="00B43F16">
      <w:pPr>
        <w:pStyle w:val="ListBullet"/>
        <w:contextualSpacing w:val="0"/>
      </w:pPr>
      <w:r>
        <w:t>people who have an existing medical condition</w:t>
      </w:r>
    </w:p>
    <w:p w14:paraId="5C177E9C" w14:textId="77777777" w:rsidR="00B43F16" w:rsidRDefault="6919A12E" w:rsidP="674B62DA">
      <w:pPr>
        <w:pStyle w:val="ListBullet"/>
      </w:pPr>
      <w:r>
        <w:t>pregnant women, breastfeeding mothers, babies and young children</w:t>
      </w:r>
    </w:p>
    <w:p w14:paraId="0C60FE1E" w14:textId="77777777" w:rsidR="00B43F16" w:rsidRDefault="6919A12E" w:rsidP="00B43F16">
      <w:pPr>
        <w:pStyle w:val="ListBullet"/>
        <w:contextualSpacing w:val="0"/>
      </w:pPr>
      <w:r>
        <w:t>people who work in hot environments or are physically active outdoors</w:t>
      </w:r>
    </w:p>
    <w:p w14:paraId="00017768" w14:textId="77777777" w:rsidR="00B43F16" w:rsidRDefault="6919A12E" w:rsidP="00B43F16">
      <w:pPr>
        <w:pStyle w:val="ListBullet"/>
        <w:contextualSpacing w:val="0"/>
      </w:pPr>
      <w:r>
        <w:t>those taking some medications that affect the body’s ability to cope with heat</w:t>
      </w:r>
    </w:p>
    <w:p w14:paraId="534E6E3A" w14:textId="77777777" w:rsidR="00B43F16" w:rsidRDefault="6919A12E" w:rsidP="00B43F16">
      <w:pPr>
        <w:pStyle w:val="ListBullet"/>
        <w:contextualSpacing w:val="0"/>
      </w:pPr>
      <w:r>
        <w:t>people who are socially isolated</w:t>
      </w:r>
    </w:p>
    <w:p w14:paraId="02E78FAD" w14:textId="28DB588E" w:rsidR="00B43F16" w:rsidRDefault="6919A12E" w:rsidP="674B62DA">
      <w:pPr>
        <w:pStyle w:val="ListBullet"/>
      </w:pPr>
      <w:r>
        <w:t>people living alone</w:t>
      </w:r>
      <w:r w:rsidR="4B3277E4">
        <w:t>.</w:t>
      </w:r>
    </w:p>
    <w:p w14:paraId="087F90B4" w14:textId="77777777" w:rsidR="00B43F16" w:rsidRDefault="00B43F16" w:rsidP="674B62DA">
      <w:pPr>
        <w:spacing w:after="0" w:line="240" w:lineRule="auto"/>
        <w:rPr>
          <w:rFonts w:eastAsiaTheme="majorEastAsia" w:cstheme="majorBidi"/>
          <w:b/>
          <w:bCs/>
          <w:color w:val="000000" w:themeColor="text1"/>
          <w:sz w:val="30"/>
          <w:szCs w:val="30"/>
        </w:rPr>
      </w:pPr>
      <w:r>
        <w:br w:type="page"/>
      </w:r>
    </w:p>
    <w:p w14:paraId="20DF0D5B" w14:textId="77777777" w:rsidR="00B43F16" w:rsidRDefault="6919A12E" w:rsidP="00B43F16">
      <w:pPr>
        <w:pStyle w:val="NumberedHeading2"/>
        <w:numPr>
          <w:ilvl w:val="0"/>
          <w:numId w:val="0"/>
        </w:numPr>
        <w:ind w:left="284" w:hanging="284"/>
      </w:pPr>
      <w:bookmarkStart w:id="77" w:name="_Toc119931232"/>
      <w:bookmarkStart w:id="78" w:name="_Toc149899494"/>
      <w:bookmarkStart w:id="79" w:name="_Toc149907550"/>
      <w:r>
        <w:lastRenderedPageBreak/>
        <w:t>Appendix C – Excess Heat Factor</w:t>
      </w:r>
      <w:bookmarkEnd w:id="77"/>
      <w:bookmarkEnd w:id="78"/>
      <w:bookmarkEnd w:id="79"/>
    </w:p>
    <w:p w14:paraId="28101CDD" w14:textId="721CE78C" w:rsidR="00B43F16" w:rsidRDefault="6919A12E" w:rsidP="00B43F16">
      <w:r>
        <w:t xml:space="preserve">The EHF is calculated based on average daily temperatures over </w:t>
      </w:r>
      <w:r w:rsidR="0298D54D">
        <w:t xml:space="preserve">3 </w:t>
      </w:r>
      <w:r>
        <w:t xml:space="preserve">consecutive days. This is measured in relation to the local long-term </w:t>
      </w:r>
      <w:r w:rsidR="0235179A">
        <w:t>climate, by</w:t>
      </w:r>
      <w:r>
        <w:t xml:space="preserve"> comparing the three days to a climatological threshold for that </w:t>
      </w:r>
      <w:r w:rsidR="0298D54D">
        <w:t>location,</w:t>
      </w:r>
      <w:r>
        <w:t xml:space="preserve"> and to the local recent past</w:t>
      </w:r>
      <w:r w:rsidR="0298D54D">
        <w:t>,</w:t>
      </w:r>
      <w:r>
        <w:t xml:space="preserve"> by comparing the three days to observed temperatures over the previous thirty days at that particular location. </w:t>
      </w:r>
    </w:p>
    <w:p w14:paraId="0D301973" w14:textId="77777777" w:rsidR="00B43F16" w:rsidRDefault="6919A12E" w:rsidP="00B43F16">
      <w:r>
        <w:t xml:space="preserve">The raw EHF values are scaled to severity quantities, called EHFsev. These quantities are based on reproducible and objective statistics founded on the Pareto principle which holds that most impact is felt in conditions that are outside the normal range. </w:t>
      </w:r>
    </w:p>
    <w:p w14:paraId="094D13BB" w14:textId="1225DCB6" w:rsidR="00B43F16" w:rsidRDefault="6919A12E" w:rsidP="00B43F16">
      <w:r>
        <w:t>A heatwave day is defined as any day for which EHFsev is positive</w:t>
      </w:r>
      <w:r w:rsidR="0298D54D">
        <w:t>,</w:t>
      </w:r>
      <w:r>
        <w:t xml:space="preserve"> greater than zero. It is the first day of a </w:t>
      </w:r>
      <w:r w:rsidR="0298D54D">
        <w:t>3</w:t>
      </w:r>
      <w:r w:rsidR="0298D54D" w:rsidRPr="674B62DA">
        <w:rPr>
          <w:rFonts w:cs="Arial"/>
        </w:rPr>
        <w:t>–</w:t>
      </w:r>
      <w:r>
        <w:t xml:space="preserve">day period with unusually high temperatures. A heatwave event is defined as one or more consecutive heatwave days. </w:t>
      </w:r>
    </w:p>
    <w:p w14:paraId="6CFA9894" w14:textId="5190F8B3" w:rsidR="00B43F16" w:rsidRDefault="6919A12E" w:rsidP="00B43F16">
      <w:r>
        <w:t xml:space="preserve">Heatwaves are further classified into </w:t>
      </w:r>
      <w:r w:rsidR="278260B4">
        <w:t xml:space="preserve">3 </w:t>
      </w:r>
      <w:r>
        <w:t xml:space="preserve">levels (low-intensity, severe, extreme – see Table 2), based on EHF values exceeding EHFsev thresholds within an event. </w:t>
      </w:r>
    </w:p>
    <w:p w14:paraId="64BC4B54" w14:textId="77777777" w:rsidR="00B43F16" w:rsidRPr="00B8527D" w:rsidRDefault="6919A12E" w:rsidP="00492BE0">
      <w:pPr>
        <w:rPr>
          <w:rStyle w:val="Strong"/>
        </w:rPr>
      </w:pPr>
      <w:r w:rsidRPr="674B62DA">
        <w:rPr>
          <w:rStyle w:val="Strong"/>
        </w:rPr>
        <w:t>Low-Intensity Heatwave</w:t>
      </w:r>
    </w:p>
    <w:p w14:paraId="26A2CAC8" w14:textId="6D066BBA" w:rsidR="00B43F16" w:rsidRDefault="6919A12E" w:rsidP="674B62DA">
      <w:pPr>
        <w:pStyle w:val="ListBullet"/>
      </w:pPr>
      <w:r>
        <w:t>Lower positive EHFsev values (EHFsev &gt; 0 and EHFsev &lt; 1) –</w:t>
      </w:r>
      <w:r w:rsidR="278260B4">
        <w:t>such as</w:t>
      </w:r>
      <w:r>
        <w:t>, greater than zero but less than one</w:t>
      </w:r>
      <w:r w:rsidR="278260B4">
        <w:t>.</w:t>
      </w:r>
      <w:r>
        <w:t xml:space="preserve"> </w:t>
      </w:r>
    </w:p>
    <w:p w14:paraId="4E4A1866" w14:textId="76A58355" w:rsidR="00B43F16" w:rsidRDefault="6919A12E" w:rsidP="674B62DA">
      <w:pPr>
        <w:pStyle w:val="ListBullet"/>
      </w:pPr>
      <w:r>
        <w:t>Most common</w:t>
      </w:r>
      <w:r w:rsidR="278260B4">
        <w:t>.</w:t>
      </w:r>
    </w:p>
    <w:p w14:paraId="0B96CE4F" w14:textId="2ED4F5C9" w:rsidR="00B43F16" w:rsidRDefault="6919A12E" w:rsidP="674B62DA">
      <w:pPr>
        <w:pStyle w:val="ListBullet"/>
      </w:pPr>
      <w:r>
        <w:t>Most people can cope</w:t>
      </w:r>
      <w:r w:rsidR="4B3277E4">
        <w:t>.</w:t>
      </w:r>
      <w:r>
        <w:t xml:space="preserve"> </w:t>
      </w:r>
    </w:p>
    <w:p w14:paraId="3A86FE0B" w14:textId="77777777" w:rsidR="00B43F16" w:rsidRPr="00B8527D" w:rsidRDefault="6919A12E" w:rsidP="00492BE0">
      <w:pPr>
        <w:rPr>
          <w:rStyle w:val="Strong"/>
        </w:rPr>
      </w:pPr>
      <w:r w:rsidRPr="674B62DA">
        <w:rPr>
          <w:rStyle w:val="Strong"/>
        </w:rPr>
        <w:t>Severe Heatwave</w:t>
      </w:r>
    </w:p>
    <w:p w14:paraId="67CCC802" w14:textId="5D366EF5" w:rsidR="00B43F16" w:rsidRDefault="6919A12E" w:rsidP="674B62DA">
      <w:pPr>
        <w:pStyle w:val="ListBullet"/>
      </w:pPr>
      <w:r>
        <w:t xml:space="preserve">Higher EHFsev values (EHFsev &gt;= 1 and EHFsev &lt; 3) – </w:t>
      </w:r>
      <w:r w:rsidR="278260B4">
        <w:t>such as,</w:t>
      </w:r>
      <w:r>
        <w:t xml:space="preserve"> between one and </w:t>
      </w:r>
      <w:r w:rsidR="278260B4">
        <w:t>3.</w:t>
      </w:r>
      <w:r>
        <w:t xml:space="preserve"> </w:t>
      </w:r>
    </w:p>
    <w:p w14:paraId="3621D0AA" w14:textId="64BC9C26" w:rsidR="00B43F16" w:rsidRDefault="6919A12E" w:rsidP="674B62DA">
      <w:pPr>
        <w:pStyle w:val="ListBullet"/>
      </w:pPr>
      <w:r>
        <w:t>Less frequent</w:t>
      </w:r>
      <w:r w:rsidR="278260B4">
        <w:t>.</w:t>
      </w:r>
      <w:r>
        <w:t xml:space="preserve"> </w:t>
      </w:r>
    </w:p>
    <w:p w14:paraId="4A4EDEBA" w14:textId="41DFAA48" w:rsidR="00B43F16" w:rsidRDefault="6919A12E" w:rsidP="674B62DA">
      <w:pPr>
        <w:pStyle w:val="ListBullet"/>
      </w:pPr>
      <w:r>
        <w:t>Can impact vulnerable people</w:t>
      </w:r>
      <w:r w:rsidR="4B3277E4">
        <w:t>.</w:t>
      </w:r>
    </w:p>
    <w:p w14:paraId="3813521C" w14:textId="77777777" w:rsidR="00B43F16" w:rsidRPr="00B8527D" w:rsidRDefault="6919A12E" w:rsidP="00492BE0">
      <w:pPr>
        <w:rPr>
          <w:rStyle w:val="Strong"/>
        </w:rPr>
      </w:pPr>
      <w:r w:rsidRPr="674B62DA">
        <w:rPr>
          <w:rStyle w:val="Strong"/>
        </w:rPr>
        <w:t xml:space="preserve">Extreme Heatwave </w:t>
      </w:r>
    </w:p>
    <w:p w14:paraId="5841D868" w14:textId="4D6EC55E" w:rsidR="00B43F16" w:rsidRDefault="6919A12E" w:rsidP="674B62DA">
      <w:pPr>
        <w:pStyle w:val="ListBullet"/>
      </w:pPr>
      <w:r>
        <w:t>Highest EHFsev values (EHFsev &gt;= 3) –</w:t>
      </w:r>
      <w:r w:rsidR="278260B4">
        <w:t>such as</w:t>
      </w:r>
      <w:r>
        <w:t xml:space="preserve">, greater than </w:t>
      </w:r>
      <w:r w:rsidR="278260B4">
        <w:t xml:space="preserve">3. </w:t>
      </w:r>
    </w:p>
    <w:p w14:paraId="7117FE9F" w14:textId="45C48243" w:rsidR="00B43F16" w:rsidRDefault="6919A12E" w:rsidP="674B62DA">
      <w:pPr>
        <w:pStyle w:val="ListBullet"/>
      </w:pPr>
      <w:r>
        <w:t>Rarest</w:t>
      </w:r>
      <w:r w:rsidR="278260B4">
        <w:t>.</w:t>
      </w:r>
      <w:r>
        <w:t xml:space="preserve"> </w:t>
      </w:r>
    </w:p>
    <w:p w14:paraId="409008BB" w14:textId="4BE164C4" w:rsidR="00B43F16" w:rsidRDefault="6919A12E" w:rsidP="674B62DA">
      <w:pPr>
        <w:pStyle w:val="ListBullet"/>
      </w:pPr>
      <w:r>
        <w:t>Capable of causing widespread health issues</w:t>
      </w:r>
      <w:r w:rsidR="278260B4">
        <w:t>.</w:t>
      </w:r>
      <w:r>
        <w:t xml:space="preserve"> </w:t>
      </w:r>
    </w:p>
    <w:p w14:paraId="70ABC838" w14:textId="696421CF" w:rsidR="00B43F16" w:rsidRDefault="6919A12E" w:rsidP="674B62DA">
      <w:pPr>
        <w:pStyle w:val="ListBullet"/>
      </w:pPr>
      <w:r>
        <w:t>Can impact infrastructure such as power and transport</w:t>
      </w:r>
      <w:r w:rsidR="4B3277E4">
        <w:t>.</w:t>
      </w:r>
    </w:p>
    <w:p w14:paraId="1F9210AE" w14:textId="00E526D6" w:rsidR="00B43F16" w:rsidRDefault="6919A12E" w:rsidP="00B43F16">
      <w:r>
        <w:t>The different levels of heatwave</w:t>
      </w:r>
      <w:r w:rsidR="278260B4">
        <w:t>, such as</w:t>
      </w:r>
      <w:r>
        <w:t xml:space="preserve"> low intensity, severe and extreme, with an increasing risk profile, enable the generation of tiered arrangements to manage heatwaves with defined activation triggers and escalating response levels.</w:t>
      </w:r>
    </w:p>
    <w:p w14:paraId="4196B3AF" w14:textId="77777777" w:rsidR="00B43F16" w:rsidRDefault="00B43F16" w:rsidP="674B62DA">
      <w:pPr>
        <w:spacing w:after="0" w:line="240" w:lineRule="auto"/>
        <w:rPr>
          <w:rFonts w:eastAsiaTheme="majorEastAsia" w:cstheme="majorBidi"/>
          <w:b/>
          <w:bCs/>
          <w:color w:val="000000" w:themeColor="text1"/>
          <w:sz w:val="30"/>
          <w:szCs w:val="30"/>
        </w:rPr>
      </w:pPr>
      <w:r>
        <w:br w:type="page"/>
      </w:r>
    </w:p>
    <w:p w14:paraId="4D781D8F" w14:textId="77777777" w:rsidR="00B43F16" w:rsidRDefault="6919A12E" w:rsidP="00B43F16">
      <w:pPr>
        <w:pStyle w:val="NumberedHeading2"/>
        <w:numPr>
          <w:ilvl w:val="0"/>
          <w:numId w:val="0"/>
        </w:numPr>
        <w:ind w:left="284" w:hanging="284"/>
      </w:pPr>
      <w:bookmarkStart w:id="80" w:name="_Toc119931233"/>
      <w:bookmarkStart w:id="81" w:name="_Toc149899495"/>
      <w:bookmarkStart w:id="82" w:name="_Toc149907551"/>
      <w:r>
        <w:lastRenderedPageBreak/>
        <w:t>Appendix D – Agencies relevant to Heatwave</w:t>
      </w:r>
      <w:bookmarkEnd w:id="80"/>
      <w:bookmarkEnd w:id="81"/>
      <w:bookmarkEnd w:id="82"/>
    </w:p>
    <w:p w14:paraId="1412E0C0" w14:textId="77777777" w:rsidR="00B43F16" w:rsidRDefault="00B43F16" w:rsidP="00B43F16">
      <w:r>
        <w:t>The following agencies may have a role to play in mitigating and/or responding to, and recovering from, the impact of heatwaves:</w:t>
      </w:r>
    </w:p>
    <w:p w14:paraId="3344EB82" w14:textId="410C3773" w:rsidR="00B43F16" w:rsidRDefault="6919A12E" w:rsidP="674B62DA">
      <w:pPr>
        <w:pStyle w:val="ListBullet"/>
      </w:pPr>
      <w:r>
        <w:t>Health Departments including hospitals, mental health services and aged care services</w:t>
      </w:r>
      <w:r w:rsidR="278260B4">
        <w:t>.</w:t>
      </w:r>
    </w:p>
    <w:p w14:paraId="760BB82F" w14:textId="7D378861" w:rsidR="00B43F16" w:rsidRDefault="6919A12E" w:rsidP="674B62DA">
      <w:pPr>
        <w:pStyle w:val="ListBullet"/>
      </w:pPr>
      <w:r>
        <w:t>Public Housing agencies</w:t>
      </w:r>
      <w:r w:rsidR="278260B4">
        <w:t>.</w:t>
      </w:r>
    </w:p>
    <w:p w14:paraId="3AA5DABC" w14:textId="50B2A68B" w:rsidR="00B43F16" w:rsidRDefault="6919A12E" w:rsidP="674B62DA">
      <w:pPr>
        <w:pStyle w:val="ListBullet"/>
      </w:pPr>
      <w:r>
        <w:t>Human and Welfare Services agencies</w:t>
      </w:r>
      <w:r w:rsidR="278260B4">
        <w:t>.</w:t>
      </w:r>
    </w:p>
    <w:p w14:paraId="07C53B49" w14:textId="66F1A4B1" w:rsidR="00B43F16" w:rsidRDefault="6919A12E" w:rsidP="674B62DA">
      <w:pPr>
        <w:pStyle w:val="ListBullet"/>
      </w:pPr>
      <w:r>
        <w:t>Planning agencies</w:t>
      </w:r>
      <w:r w:rsidR="278260B4">
        <w:t>.</w:t>
      </w:r>
    </w:p>
    <w:p w14:paraId="348022F5" w14:textId="7DC35A5E" w:rsidR="00B43F16" w:rsidRDefault="6919A12E" w:rsidP="674B62DA">
      <w:pPr>
        <w:pStyle w:val="ListBullet"/>
      </w:pPr>
      <w:r>
        <w:t>Transport agencies</w:t>
      </w:r>
      <w:r w:rsidR="278260B4">
        <w:t>.</w:t>
      </w:r>
    </w:p>
    <w:p w14:paraId="32C9D6C3" w14:textId="5ED223A8" w:rsidR="00B43F16" w:rsidRDefault="6919A12E" w:rsidP="674B62DA">
      <w:pPr>
        <w:pStyle w:val="ListBullet"/>
      </w:pPr>
      <w:r>
        <w:t>Infrastructure agencies</w:t>
      </w:r>
      <w:r w:rsidR="278260B4">
        <w:t>.</w:t>
      </w:r>
    </w:p>
    <w:p w14:paraId="0440D4CE" w14:textId="77777777" w:rsidR="00B43F16" w:rsidRDefault="6919A12E" w:rsidP="674B62DA">
      <w:pPr>
        <w:pStyle w:val="ListBullet"/>
      </w:pPr>
      <w:r>
        <w:t xml:space="preserve">Primary Industry agencies, including agriculture, animal welfare, construction and heavy industry representatives. </w:t>
      </w:r>
    </w:p>
    <w:p w14:paraId="46308DC5" w14:textId="1B5286F4" w:rsidR="00B43F16" w:rsidRDefault="6919A12E" w:rsidP="674B62DA">
      <w:pPr>
        <w:pStyle w:val="ListBullet"/>
      </w:pPr>
      <w:r>
        <w:t>Local Governments and Local Government Associations</w:t>
      </w:r>
      <w:r w:rsidR="278260B4">
        <w:t>.</w:t>
      </w:r>
    </w:p>
    <w:p w14:paraId="4FBB9B7A" w14:textId="60535E6F" w:rsidR="00B43F16" w:rsidRDefault="6919A12E" w:rsidP="674B62DA">
      <w:pPr>
        <w:pStyle w:val="ListBullet"/>
      </w:pPr>
      <w:r>
        <w:t>Utility and essential service providers including water, power and telecommunication organisations</w:t>
      </w:r>
      <w:r w:rsidR="278260B4">
        <w:t>.</w:t>
      </w:r>
      <w:r>
        <w:t xml:space="preserve"> </w:t>
      </w:r>
    </w:p>
    <w:p w14:paraId="6B487A26" w14:textId="1E39AA32" w:rsidR="00B43F16" w:rsidRDefault="6919A12E" w:rsidP="674B62DA">
      <w:pPr>
        <w:pStyle w:val="ListBullet"/>
      </w:pPr>
      <w:r>
        <w:t>Education providers including childcare, schools and higher education organisations</w:t>
      </w:r>
      <w:r w:rsidR="278260B4">
        <w:t>.</w:t>
      </w:r>
    </w:p>
    <w:p w14:paraId="5682F40C" w14:textId="63CA3E44" w:rsidR="00B43F16" w:rsidRDefault="6919A12E" w:rsidP="674B62DA">
      <w:pPr>
        <w:pStyle w:val="ListBullet"/>
      </w:pPr>
      <w:r>
        <w:t>Environmental agencies</w:t>
      </w:r>
      <w:r w:rsidR="278260B4">
        <w:t>.</w:t>
      </w:r>
    </w:p>
    <w:p w14:paraId="78D94E17" w14:textId="7EA19E08" w:rsidR="00B43F16" w:rsidRDefault="6919A12E" w:rsidP="674B62DA">
      <w:pPr>
        <w:pStyle w:val="ListBullet"/>
      </w:pPr>
      <w:r>
        <w:t>Emergency Services, including fire agencies, emergency response agencies, police and ambulance services</w:t>
      </w:r>
      <w:r w:rsidR="278260B4">
        <w:t>.</w:t>
      </w:r>
    </w:p>
    <w:p w14:paraId="4395D179" w14:textId="52975D3E" w:rsidR="00B43F16" w:rsidRDefault="6919A12E" w:rsidP="674B62DA">
      <w:pPr>
        <w:pStyle w:val="ListBullet"/>
      </w:pPr>
      <w:r>
        <w:t>Organisational health and safety agencies</w:t>
      </w:r>
      <w:r w:rsidR="278260B4">
        <w:t>.</w:t>
      </w:r>
      <w:r>
        <w:t xml:space="preserve"> </w:t>
      </w:r>
    </w:p>
    <w:p w14:paraId="6591F861" w14:textId="70A09E53" w:rsidR="00B43F16" w:rsidRDefault="6919A12E" w:rsidP="674B62DA">
      <w:pPr>
        <w:pStyle w:val="ListBullet"/>
      </w:pPr>
      <w:r>
        <w:t>Tourist organisations and peak bodies</w:t>
      </w:r>
      <w:r w:rsidR="4B3277E4">
        <w:t>.</w:t>
      </w:r>
    </w:p>
    <w:p w14:paraId="2BF290E2" w14:textId="77777777" w:rsidR="00B43F16" w:rsidRDefault="00B43F16" w:rsidP="674B62DA">
      <w:pPr>
        <w:spacing w:after="0" w:line="240" w:lineRule="auto"/>
        <w:rPr>
          <w:rFonts w:eastAsiaTheme="majorEastAsia" w:cstheme="majorBidi"/>
          <w:b/>
          <w:bCs/>
          <w:color w:val="000000" w:themeColor="text1"/>
          <w:sz w:val="30"/>
          <w:szCs w:val="30"/>
        </w:rPr>
      </w:pPr>
      <w:r>
        <w:br w:type="page"/>
      </w:r>
    </w:p>
    <w:p w14:paraId="13ACFA4F" w14:textId="77777777" w:rsidR="00B43F16" w:rsidRPr="00B8527D" w:rsidRDefault="6919A12E" w:rsidP="00B43F16">
      <w:pPr>
        <w:pStyle w:val="NumberedHeading2"/>
        <w:numPr>
          <w:ilvl w:val="0"/>
          <w:numId w:val="0"/>
        </w:numPr>
        <w:ind w:left="284" w:hanging="284"/>
      </w:pPr>
      <w:bookmarkStart w:id="83" w:name="_Toc119931234"/>
      <w:bookmarkStart w:id="84" w:name="_Toc149899496"/>
      <w:bookmarkStart w:id="85" w:name="_Toc149907552"/>
      <w:r>
        <w:lastRenderedPageBreak/>
        <w:t>Appendix E – Common Alerting Protocol</w:t>
      </w:r>
      <w:bookmarkEnd w:id="83"/>
      <w:bookmarkEnd w:id="84"/>
      <w:bookmarkEnd w:id="85"/>
    </w:p>
    <w:p w14:paraId="6E0B51C2" w14:textId="77777777" w:rsidR="00B43F16" w:rsidRDefault="00B43F16" w:rsidP="00B43F16">
      <w:r>
        <w:t>The Common Alerting Protocol - Australia Profile (CAP-AU) (OASIS 2010) provides the Australian community with a common standard for the dissemination of all-hazard alert and warning messages during any emergency including event code terms commonly understood by the Australian community.</w:t>
      </w:r>
    </w:p>
    <w:p w14:paraId="434C6DFF" w14:textId="5C7B26E7" w:rsidR="00B43F16" w:rsidRDefault="6919A12E" w:rsidP="00B43F16">
      <w:r>
        <w:t xml:space="preserve">The </w:t>
      </w:r>
      <w:r w:rsidR="278260B4">
        <w:t>Common Alerting Protocol</w:t>
      </w:r>
      <w:r>
        <w:t xml:space="preserve"> standard establishes the basic structure and data elements for a CAP warning message; however, it leaves considerable room for inconsistencies in how and when the various data elements are employed. The </w:t>
      </w:r>
      <w:r w:rsidR="278260B4">
        <w:t>CAP</w:t>
      </w:r>
      <w:r>
        <w:t xml:space="preserve"> provides flexibility in how most of the CAP data elements are completed. Accordingly, the successful development of a CAP message warning system will necessarily involve the close collaboration of CAP producers and CAP consumers/re-publishers to conform to emerging usage standards, the Google profile and to enable the RSS feed.</w:t>
      </w:r>
    </w:p>
    <w:p w14:paraId="6624A67A" w14:textId="77777777" w:rsidR="00B43F16" w:rsidRDefault="6919A12E" w:rsidP="00B43F16">
      <w:r>
        <w:t>Close collaboration is required</w:t>
      </w:r>
    </w:p>
    <w:p w14:paraId="2713842B" w14:textId="77777777" w:rsidR="00B43F16" w:rsidRPr="00CE4D76" w:rsidRDefault="6919A12E" w:rsidP="00B43F16">
      <w:pPr>
        <w:pStyle w:val="ListBullet"/>
      </w:pPr>
      <w:r>
        <w:t xml:space="preserve">Between the Bureau and state and territories to determine appropriate element values for the different stages of a heatwave event. In addition, the element values must be aligned to the EHF warning thresholds and the AWS. Draft element values aligned with the EHF warning thresholds and the AWS are presented in </w:t>
      </w:r>
      <w:r w:rsidR="00B43F16">
        <w:fldChar w:fldCharType="begin"/>
      </w:r>
      <w:r w:rsidR="00B43F16">
        <w:instrText xml:space="preserve"> REF _Ref117173254 \h </w:instrText>
      </w:r>
      <w:r w:rsidR="00B43F16">
        <w:fldChar w:fldCharType="separate"/>
      </w:r>
      <w:r>
        <w:t>Table 6</w:t>
      </w:r>
      <w:r w:rsidR="00B43F16">
        <w:fldChar w:fldCharType="end"/>
      </w:r>
      <w:r>
        <w:t>.</w:t>
      </w:r>
    </w:p>
    <w:p w14:paraId="32C2240A" w14:textId="77777777" w:rsidR="00B43F16" w:rsidRPr="00CE4D76" w:rsidRDefault="6919A12E" w:rsidP="00B43F16">
      <w:pPr>
        <w:pStyle w:val="ListBullet"/>
      </w:pPr>
      <w:r>
        <w:t>To coordinate/manage concurrent warnings (e.g., Bureau heatwave warnings and heat health alerts) for the same impact affected area, event and event type. This can cause issues for publishers in presenting overlapping areas spatially and for CAP consumers especially if the messaging is inconsistent.</w:t>
      </w:r>
    </w:p>
    <w:p w14:paraId="5CED52DF" w14:textId="685DFA52" w:rsidR="00B43F16" w:rsidRDefault="6919A12E" w:rsidP="00B43F16">
      <w:pPr>
        <w:pStyle w:val="ListBullet"/>
      </w:pPr>
      <w:r>
        <w:t>To ensure warnings are as accurately targeted to the impact affected areas as possible</w:t>
      </w:r>
      <w:r w:rsidR="278260B4">
        <w:t>,</w:t>
      </w:r>
      <w:r>
        <w:t xml:space="preserve"> in accordance with the accuracy and resolution of available exposure and impact information</w:t>
      </w:r>
      <w:r w:rsidR="278260B4">
        <w:t>,</w:t>
      </w:r>
      <w:r>
        <w:t xml:space="preserve"> to avoid over alerting. Spatial scales are defined for the different warnings/alerts in </w:t>
      </w:r>
      <w:r w:rsidR="00B43F16">
        <w:fldChar w:fldCharType="begin"/>
      </w:r>
      <w:r w:rsidR="00B43F16">
        <w:instrText xml:space="preserve"> REF _Ref117169780 \h </w:instrText>
      </w:r>
      <w:r w:rsidR="00B43F16">
        <w:fldChar w:fldCharType="separate"/>
      </w:r>
      <w:r>
        <w:t>Table 7</w:t>
      </w:r>
      <w:r w:rsidR="00B43F16">
        <w:fldChar w:fldCharType="end"/>
      </w:r>
      <w:r>
        <w:t>.</w:t>
      </w:r>
    </w:p>
    <w:p w14:paraId="17911A8B" w14:textId="77777777" w:rsidR="00B43F16" w:rsidRPr="00BD31A0" w:rsidRDefault="6919A12E" w:rsidP="00B43F16">
      <w:pPr>
        <w:pStyle w:val="Tabletitle"/>
      </w:pPr>
      <w:r>
        <w:t>Alignment of CAP element values to AWS and EHF warning thresholds (OASIS 2013)</w:t>
      </w:r>
    </w:p>
    <w:tbl>
      <w:tblPr>
        <w:tblStyle w:val="TableGrid"/>
        <w:tblW w:w="9783" w:type="dxa"/>
        <w:tblLook w:val="04A0" w:firstRow="1" w:lastRow="0" w:firstColumn="1" w:lastColumn="0" w:noHBand="0" w:noVBand="1"/>
      </w:tblPr>
      <w:tblGrid>
        <w:gridCol w:w="1328"/>
        <w:gridCol w:w="1329"/>
        <w:gridCol w:w="1146"/>
        <w:gridCol w:w="1235"/>
        <w:gridCol w:w="2189"/>
        <w:gridCol w:w="1283"/>
        <w:gridCol w:w="1273"/>
      </w:tblGrid>
      <w:tr w:rsidR="00B43F16" w:rsidRPr="00FA7F41" w14:paraId="7CFE623C" w14:textId="77777777" w:rsidTr="674B62DA">
        <w:trPr>
          <w:cnfStyle w:val="100000000000" w:firstRow="1" w:lastRow="0" w:firstColumn="0" w:lastColumn="0" w:oddVBand="0" w:evenVBand="0" w:oddHBand="0" w:evenHBand="0" w:firstRowFirstColumn="0" w:firstRowLastColumn="0" w:lastRowFirstColumn="0" w:lastRowLastColumn="0"/>
          <w:trHeight w:val="80"/>
          <w:tblHeader/>
        </w:trPr>
        <w:tc>
          <w:tcPr>
            <w:tcW w:w="1333" w:type="dxa"/>
          </w:tcPr>
          <w:p w14:paraId="34B3FEB1" w14:textId="77777777" w:rsidR="00B43F16" w:rsidRPr="00B43F16" w:rsidRDefault="6919A12E" w:rsidP="674B62DA">
            <w:pPr>
              <w:pStyle w:val="Tableheadingrow"/>
              <w:rPr>
                <w:rFonts w:asciiTheme="minorHAnsi" w:hAnsiTheme="minorHAnsi"/>
              </w:rPr>
            </w:pPr>
            <w:r w:rsidRPr="674B62DA">
              <w:rPr>
                <w:rFonts w:asciiTheme="minorHAnsi" w:hAnsiTheme="minorHAnsi"/>
              </w:rPr>
              <w:t>EHF</w:t>
            </w:r>
          </w:p>
        </w:tc>
        <w:tc>
          <w:tcPr>
            <w:tcW w:w="1304" w:type="dxa"/>
          </w:tcPr>
          <w:p w14:paraId="783EAEFA" w14:textId="77777777" w:rsidR="00B43F16" w:rsidRPr="00B43F16" w:rsidRDefault="6919A12E" w:rsidP="674B62DA">
            <w:pPr>
              <w:pStyle w:val="Tableheadingrow"/>
              <w:rPr>
                <w:rFonts w:asciiTheme="minorHAnsi" w:hAnsiTheme="minorHAnsi"/>
              </w:rPr>
            </w:pPr>
            <w:r w:rsidRPr="674B62DA">
              <w:rPr>
                <w:rFonts w:asciiTheme="minorHAnsi" w:hAnsiTheme="minorHAnsi"/>
              </w:rPr>
              <w:t>AWS</w:t>
            </w:r>
          </w:p>
        </w:tc>
        <w:tc>
          <w:tcPr>
            <w:tcW w:w="7146" w:type="dxa"/>
            <w:gridSpan w:val="5"/>
          </w:tcPr>
          <w:p w14:paraId="17CBB57E" w14:textId="77777777" w:rsidR="00B43F16" w:rsidRPr="00B43F16" w:rsidRDefault="6919A12E" w:rsidP="674B62DA">
            <w:pPr>
              <w:pStyle w:val="Tableheadingrow"/>
              <w:rPr>
                <w:rFonts w:asciiTheme="minorHAnsi" w:hAnsiTheme="minorHAnsi"/>
              </w:rPr>
            </w:pPr>
            <w:r w:rsidRPr="674B62DA">
              <w:rPr>
                <w:rFonts w:asciiTheme="minorHAnsi" w:hAnsiTheme="minorHAnsi"/>
              </w:rPr>
              <w:t>CAP element code value(s)</w:t>
            </w:r>
          </w:p>
        </w:tc>
      </w:tr>
      <w:tr w:rsidR="00B43F16" w:rsidRPr="003E2A03" w14:paraId="0F3E39A4" w14:textId="77777777" w:rsidTr="674B62DA">
        <w:trPr>
          <w:cnfStyle w:val="000000100000" w:firstRow="0" w:lastRow="0" w:firstColumn="0" w:lastColumn="0" w:oddVBand="0" w:evenVBand="0" w:oddHBand="1" w:evenHBand="0" w:firstRowFirstColumn="0" w:firstRowLastColumn="0" w:lastRowFirstColumn="0" w:lastRowLastColumn="0"/>
        </w:trPr>
        <w:tc>
          <w:tcPr>
            <w:tcW w:w="1333" w:type="dxa"/>
          </w:tcPr>
          <w:p w14:paraId="460B923B" w14:textId="77777777" w:rsidR="00B43F16" w:rsidRPr="00492BE0" w:rsidRDefault="6919A12E" w:rsidP="674B62DA">
            <w:pPr>
              <w:pStyle w:val="Tablebodytext"/>
              <w:rPr>
                <w:rFonts w:asciiTheme="minorHAnsi" w:hAnsiTheme="minorHAnsi"/>
                <w:b/>
                <w:bCs/>
              </w:rPr>
            </w:pPr>
            <w:r w:rsidRPr="674B62DA">
              <w:rPr>
                <w:rFonts w:asciiTheme="minorHAnsi" w:hAnsiTheme="minorHAnsi"/>
                <w:b/>
                <w:bCs/>
              </w:rPr>
              <w:t>Warning threshold</w:t>
            </w:r>
          </w:p>
        </w:tc>
        <w:tc>
          <w:tcPr>
            <w:tcW w:w="1304" w:type="dxa"/>
          </w:tcPr>
          <w:p w14:paraId="44F5B3C8" w14:textId="77777777" w:rsidR="00B43F16" w:rsidRPr="00492BE0" w:rsidRDefault="6919A12E" w:rsidP="674B62DA">
            <w:pPr>
              <w:pStyle w:val="Tablebodytext"/>
              <w:rPr>
                <w:rFonts w:asciiTheme="minorHAnsi" w:hAnsiTheme="minorHAnsi"/>
                <w:b/>
                <w:bCs/>
              </w:rPr>
            </w:pPr>
            <w:r w:rsidRPr="674B62DA">
              <w:rPr>
                <w:rFonts w:asciiTheme="minorHAnsi" w:hAnsiTheme="minorHAnsi"/>
                <w:b/>
                <w:bCs/>
              </w:rPr>
              <w:t>Warning level</w:t>
            </w:r>
          </w:p>
        </w:tc>
        <w:tc>
          <w:tcPr>
            <w:tcW w:w="1127" w:type="dxa"/>
          </w:tcPr>
          <w:p w14:paraId="20FECB09" w14:textId="77777777" w:rsidR="00B43F16" w:rsidRPr="00492BE0" w:rsidRDefault="6919A12E" w:rsidP="674B62DA">
            <w:pPr>
              <w:pStyle w:val="Tablebodytext"/>
              <w:rPr>
                <w:rFonts w:asciiTheme="minorHAnsi" w:hAnsiTheme="minorHAnsi"/>
                <w:b/>
                <w:bCs/>
              </w:rPr>
            </w:pPr>
            <w:r w:rsidRPr="674B62DA">
              <w:rPr>
                <w:rFonts w:asciiTheme="minorHAnsi" w:hAnsiTheme="minorHAnsi"/>
                <w:b/>
                <w:bCs/>
              </w:rPr>
              <w:t>Severity</w:t>
            </w:r>
          </w:p>
        </w:tc>
        <w:tc>
          <w:tcPr>
            <w:tcW w:w="1238" w:type="dxa"/>
          </w:tcPr>
          <w:p w14:paraId="69BFE7C4" w14:textId="77777777" w:rsidR="00B43F16" w:rsidRPr="00492BE0" w:rsidRDefault="6919A12E" w:rsidP="674B62DA">
            <w:pPr>
              <w:pStyle w:val="Tablebodytext"/>
              <w:rPr>
                <w:rFonts w:asciiTheme="minorHAnsi" w:hAnsiTheme="minorHAnsi"/>
                <w:b/>
                <w:bCs/>
              </w:rPr>
            </w:pPr>
            <w:r w:rsidRPr="674B62DA">
              <w:rPr>
                <w:rFonts w:asciiTheme="minorHAnsi" w:hAnsiTheme="minorHAnsi"/>
                <w:b/>
                <w:bCs/>
              </w:rPr>
              <w:t>Certainty</w:t>
            </w:r>
          </w:p>
        </w:tc>
        <w:tc>
          <w:tcPr>
            <w:tcW w:w="2223" w:type="dxa"/>
          </w:tcPr>
          <w:p w14:paraId="022B3FB2" w14:textId="77777777" w:rsidR="00B43F16" w:rsidRPr="00492BE0" w:rsidRDefault="6919A12E" w:rsidP="674B62DA">
            <w:pPr>
              <w:pStyle w:val="Tablebodytext"/>
              <w:rPr>
                <w:rFonts w:asciiTheme="minorHAnsi" w:hAnsiTheme="minorHAnsi"/>
                <w:b/>
                <w:bCs/>
              </w:rPr>
            </w:pPr>
            <w:r w:rsidRPr="674B62DA">
              <w:rPr>
                <w:rFonts w:asciiTheme="minorHAnsi" w:hAnsiTheme="minorHAnsi"/>
                <w:b/>
                <w:bCs/>
              </w:rPr>
              <w:t>Instructions</w:t>
            </w:r>
          </w:p>
        </w:tc>
        <w:tc>
          <w:tcPr>
            <w:tcW w:w="1283" w:type="dxa"/>
          </w:tcPr>
          <w:p w14:paraId="50373BF2" w14:textId="77777777" w:rsidR="00B43F16" w:rsidRPr="00492BE0" w:rsidRDefault="6919A12E" w:rsidP="674B62DA">
            <w:pPr>
              <w:pStyle w:val="Tablebodytext"/>
              <w:rPr>
                <w:rFonts w:asciiTheme="minorHAnsi" w:hAnsiTheme="minorHAnsi"/>
                <w:b/>
                <w:bCs/>
              </w:rPr>
            </w:pPr>
            <w:r w:rsidRPr="674B62DA">
              <w:rPr>
                <w:rFonts w:asciiTheme="minorHAnsi" w:hAnsiTheme="minorHAnsi"/>
                <w:b/>
                <w:bCs/>
              </w:rPr>
              <w:t>Response type</w:t>
            </w:r>
          </w:p>
        </w:tc>
        <w:tc>
          <w:tcPr>
            <w:tcW w:w="1261" w:type="dxa"/>
          </w:tcPr>
          <w:p w14:paraId="72039A2A" w14:textId="77777777" w:rsidR="00B43F16" w:rsidRPr="00492BE0" w:rsidRDefault="6919A12E" w:rsidP="674B62DA">
            <w:pPr>
              <w:pStyle w:val="Tablebodytext"/>
              <w:rPr>
                <w:rFonts w:asciiTheme="minorHAnsi" w:hAnsiTheme="minorHAnsi"/>
                <w:b/>
                <w:bCs/>
              </w:rPr>
            </w:pPr>
            <w:r w:rsidRPr="674B62DA">
              <w:rPr>
                <w:rFonts w:asciiTheme="minorHAnsi" w:hAnsiTheme="minorHAnsi"/>
                <w:b/>
                <w:bCs/>
              </w:rPr>
              <w:t>Urgency</w:t>
            </w:r>
          </w:p>
        </w:tc>
      </w:tr>
      <w:tr w:rsidR="00B43F16" w:rsidRPr="00FA7F41" w14:paraId="5C577C4C" w14:textId="77777777" w:rsidTr="674B62DA">
        <w:trPr>
          <w:cnfStyle w:val="000000010000" w:firstRow="0" w:lastRow="0" w:firstColumn="0" w:lastColumn="0" w:oddVBand="0" w:evenVBand="0" w:oddHBand="0" w:evenHBand="1" w:firstRowFirstColumn="0" w:firstRowLastColumn="0" w:lastRowFirstColumn="0" w:lastRowLastColumn="0"/>
        </w:trPr>
        <w:tc>
          <w:tcPr>
            <w:tcW w:w="1333" w:type="dxa"/>
          </w:tcPr>
          <w:p w14:paraId="61361022" w14:textId="77777777" w:rsidR="00B43F16" w:rsidRPr="00492BE0" w:rsidRDefault="6919A12E" w:rsidP="674B62DA">
            <w:pPr>
              <w:pStyle w:val="Tablebodytext"/>
              <w:rPr>
                <w:rFonts w:asciiTheme="minorHAnsi" w:hAnsiTheme="minorHAnsi"/>
              </w:rPr>
            </w:pPr>
            <w:r w:rsidRPr="674B62DA">
              <w:rPr>
                <w:rFonts w:asciiTheme="minorHAnsi" w:hAnsiTheme="minorHAnsi"/>
              </w:rPr>
              <w:t>0-1</w:t>
            </w:r>
          </w:p>
        </w:tc>
        <w:tc>
          <w:tcPr>
            <w:tcW w:w="1304" w:type="dxa"/>
            <w:shd w:val="clear" w:color="auto" w:fill="FFFF00"/>
          </w:tcPr>
          <w:p w14:paraId="7215D419" w14:textId="77777777" w:rsidR="00B43F16" w:rsidRPr="00492BE0" w:rsidRDefault="6919A12E" w:rsidP="674B62DA">
            <w:pPr>
              <w:pStyle w:val="Tablebodytext"/>
              <w:rPr>
                <w:rFonts w:asciiTheme="minorHAnsi" w:hAnsiTheme="minorHAnsi"/>
              </w:rPr>
            </w:pPr>
            <w:r w:rsidRPr="674B62DA">
              <w:rPr>
                <w:rFonts w:asciiTheme="minorHAnsi" w:hAnsiTheme="minorHAnsi"/>
              </w:rPr>
              <w:t>Advice</w:t>
            </w:r>
          </w:p>
        </w:tc>
        <w:tc>
          <w:tcPr>
            <w:tcW w:w="1127" w:type="dxa"/>
          </w:tcPr>
          <w:p w14:paraId="4A76A490" w14:textId="77777777" w:rsidR="00B43F16" w:rsidRPr="00492BE0" w:rsidRDefault="6919A12E" w:rsidP="674B62DA">
            <w:pPr>
              <w:pStyle w:val="Tablebodytext"/>
              <w:rPr>
                <w:rFonts w:asciiTheme="minorHAnsi" w:hAnsiTheme="minorHAnsi"/>
              </w:rPr>
            </w:pPr>
            <w:r w:rsidRPr="674B62DA">
              <w:rPr>
                <w:rFonts w:asciiTheme="minorHAnsi" w:hAnsiTheme="minorHAnsi"/>
              </w:rPr>
              <w:t>Moderate</w:t>
            </w:r>
          </w:p>
        </w:tc>
        <w:tc>
          <w:tcPr>
            <w:tcW w:w="1238" w:type="dxa"/>
          </w:tcPr>
          <w:p w14:paraId="44940E4A" w14:textId="77777777" w:rsidR="00B43F16" w:rsidRPr="00492BE0" w:rsidRDefault="6919A12E" w:rsidP="674B62DA">
            <w:pPr>
              <w:pStyle w:val="Tablebodytext"/>
              <w:rPr>
                <w:rFonts w:asciiTheme="minorHAnsi" w:hAnsiTheme="minorHAnsi"/>
              </w:rPr>
            </w:pPr>
            <w:r w:rsidRPr="674B62DA">
              <w:rPr>
                <w:rFonts w:asciiTheme="minorHAnsi" w:hAnsiTheme="minorHAnsi"/>
              </w:rPr>
              <w:t>Possible</w:t>
            </w:r>
          </w:p>
        </w:tc>
        <w:tc>
          <w:tcPr>
            <w:tcW w:w="2223" w:type="dxa"/>
          </w:tcPr>
          <w:p w14:paraId="7EF50EE3" w14:textId="77777777" w:rsidR="00B43F16" w:rsidRPr="00492BE0" w:rsidRDefault="6919A12E" w:rsidP="674B62DA">
            <w:pPr>
              <w:pStyle w:val="ListBullet"/>
              <w:rPr>
                <w:rFonts w:asciiTheme="minorHAnsi" w:hAnsiTheme="minorHAnsi"/>
              </w:rPr>
            </w:pPr>
            <w:r w:rsidRPr="674B62DA">
              <w:rPr>
                <w:rFonts w:asciiTheme="minorHAnsi" w:hAnsiTheme="minorHAnsi"/>
              </w:rPr>
              <w:t>Prepare Now</w:t>
            </w:r>
          </w:p>
          <w:p w14:paraId="1A490AC9" w14:textId="77777777" w:rsidR="00B43F16" w:rsidRPr="00492BE0" w:rsidRDefault="6919A12E" w:rsidP="674B62DA">
            <w:pPr>
              <w:pStyle w:val="ListBullet"/>
              <w:rPr>
                <w:rFonts w:asciiTheme="minorHAnsi" w:hAnsiTheme="minorHAnsi"/>
              </w:rPr>
            </w:pPr>
            <w:r w:rsidRPr="674B62DA">
              <w:rPr>
                <w:rFonts w:asciiTheme="minorHAnsi" w:hAnsiTheme="minorHAnsi"/>
              </w:rPr>
              <w:t>Stay Informed</w:t>
            </w:r>
          </w:p>
          <w:p w14:paraId="7F2F7F48" w14:textId="77777777" w:rsidR="00B43F16" w:rsidRPr="00492BE0" w:rsidRDefault="6919A12E" w:rsidP="674B62DA">
            <w:pPr>
              <w:pStyle w:val="ListBullet"/>
              <w:rPr>
                <w:rFonts w:asciiTheme="minorHAnsi" w:hAnsiTheme="minorHAnsi"/>
              </w:rPr>
            </w:pPr>
            <w:r w:rsidRPr="674B62DA">
              <w:rPr>
                <w:rFonts w:asciiTheme="minorHAnsi" w:hAnsiTheme="minorHAnsi"/>
              </w:rPr>
              <w:t>Monitor Conditions</w:t>
            </w:r>
          </w:p>
        </w:tc>
        <w:tc>
          <w:tcPr>
            <w:tcW w:w="1283" w:type="dxa"/>
          </w:tcPr>
          <w:p w14:paraId="5C32EB2F" w14:textId="77777777" w:rsidR="00B43F16" w:rsidRPr="00492BE0" w:rsidRDefault="6919A12E" w:rsidP="674B62DA">
            <w:pPr>
              <w:pStyle w:val="ListBullet"/>
              <w:rPr>
                <w:rFonts w:asciiTheme="minorHAnsi" w:hAnsiTheme="minorHAnsi"/>
              </w:rPr>
            </w:pPr>
            <w:r w:rsidRPr="674B62DA">
              <w:rPr>
                <w:rFonts w:asciiTheme="minorHAnsi" w:hAnsiTheme="minorHAnsi"/>
              </w:rPr>
              <w:t>Prepare</w:t>
            </w:r>
          </w:p>
          <w:p w14:paraId="287557FF" w14:textId="77777777" w:rsidR="00B43F16" w:rsidRPr="00492BE0" w:rsidRDefault="6919A12E" w:rsidP="674B62DA">
            <w:pPr>
              <w:pStyle w:val="ListBullet"/>
              <w:rPr>
                <w:rFonts w:asciiTheme="minorHAnsi" w:hAnsiTheme="minorHAnsi"/>
              </w:rPr>
            </w:pPr>
            <w:r w:rsidRPr="674B62DA">
              <w:rPr>
                <w:rFonts w:asciiTheme="minorHAnsi" w:hAnsiTheme="minorHAnsi"/>
              </w:rPr>
              <w:t>Monitor</w:t>
            </w:r>
          </w:p>
        </w:tc>
        <w:tc>
          <w:tcPr>
            <w:tcW w:w="1261" w:type="dxa"/>
          </w:tcPr>
          <w:p w14:paraId="38BD9705" w14:textId="77777777" w:rsidR="00B43F16" w:rsidRPr="00492BE0" w:rsidRDefault="6919A12E" w:rsidP="674B62DA">
            <w:pPr>
              <w:pStyle w:val="Tablebodytext"/>
              <w:rPr>
                <w:rFonts w:asciiTheme="minorHAnsi" w:hAnsiTheme="minorHAnsi"/>
              </w:rPr>
            </w:pPr>
            <w:r w:rsidRPr="674B62DA">
              <w:rPr>
                <w:rFonts w:asciiTheme="minorHAnsi" w:hAnsiTheme="minorHAnsi"/>
              </w:rPr>
              <w:t>Future</w:t>
            </w:r>
          </w:p>
        </w:tc>
      </w:tr>
      <w:tr w:rsidR="00B43F16" w:rsidRPr="00FA7F41" w14:paraId="61B54573" w14:textId="77777777" w:rsidTr="674B62DA">
        <w:trPr>
          <w:cnfStyle w:val="000000100000" w:firstRow="0" w:lastRow="0" w:firstColumn="0" w:lastColumn="0" w:oddVBand="0" w:evenVBand="0" w:oddHBand="1" w:evenHBand="0" w:firstRowFirstColumn="0" w:firstRowLastColumn="0" w:lastRowFirstColumn="0" w:lastRowLastColumn="0"/>
        </w:trPr>
        <w:tc>
          <w:tcPr>
            <w:tcW w:w="1333" w:type="dxa"/>
          </w:tcPr>
          <w:p w14:paraId="23485584" w14:textId="77777777" w:rsidR="00B43F16" w:rsidRPr="00492BE0" w:rsidRDefault="6919A12E" w:rsidP="674B62DA">
            <w:pPr>
              <w:pStyle w:val="Tablebodytext"/>
              <w:rPr>
                <w:rFonts w:asciiTheme="minorHAnsi" w:hAnsiTheme="minorHAnsi"/>
              </w:rPr>
            </w:pPr>
            <w:r w:rsidRPr="674B62DA">
              <w:rPr>
                <w:rFonts w:asciiTheme="minorHAnsi" w:hAnsiTheme="minorHAnsi"/>
              </w:rPr>
              <w:t>0-1</w:t>
            </w:r>
          </w:p>
        </w:tc>
        <w:tc>
          <w:tcPr>
            <w:tcW w:w="1304" w:type="dxa"/>
            <w:shd w:val="clear" w:color="auto" w:fill="FFFF00"/>
          </w:tcPr>
          <w:p w14:paraId="29055DA1" w14:textId="77777777" w:rsidR="00B43F16" w:rsidRPr="00492BE0" w:rsidRDefault="6919A12E" w:rsidP="674B62DA">
            <w:pPr>
              <w:pStyle w:val="Tablebodytext"/>
              <w:rPr>
                <w:rFonts w:asciiTheme="minorHAnsi" w:hAnsiTheme="minorHAnsi"/>
              </w:rPr>
            </w:pPr>
            <w:r w:rsidRPr="674B62DA">
              <w:rPr>
                <w:rFonts w:asciiTheme="minorHAnsi" w:hAnsiTheme="minorHAnsi"/>
              </w:rPr>
              <w:t>Advice</w:t>
            </w:r>
          </w:p>
        </w:tc>
        <w:tc>
          <w:tcPr>
            <w:tcW w:w="1127" w:type="dxa"/>
          </w:tcPr>
          <w:p w14:paraId="4DE5B790" w14:textId="77777777" w:rsidR="00B43F16" w:rsidRPr="00492BE0" w:rsidRDefault="6919A12E" w:rsidP="674B62DA">
            <w:pPr>
              <w:pStyle w:val="Tablebodytext"/>
              <w:rPr>
                <w:rFonts w:asciiTheme="minorHAnsi" w:hAnsiTheme="minorHAnsi"/>
              </w:rPr>
            </w:pPr>
            <w:r w:rsidRPr="674B62DA">
              <w:rPr>
                <w:rFonts w:asciiTheme="minorHAnsi" w:hAnsiTheme="minorHAnsi"/>
              </w:rPr>
              <w:t>Moderate</w:t>
            </w:r>
          </w:p>
        </w:tc>
        <w:tc>
          <w:tcPr>
            <w:tcW w:w="1238" w:type="dxa"/>
          </w:tcPr>
          <w:p w14:paraId="00BFF37F" w14:textId="77777777" w:rsidR="00B43F16" w:rsidRPr="00492BE0" w:rsidRDefault="6919A12E" w:rsidP="674B62DA">
            <w:pPr>
              <w:pStyle w:val="Tablebodytext"/>
              <w:rPr>
                <w:rFonts w:asciiTheme="minorHAnsi" w:hAnsiTheme="minorHAnsi"/>
              </w:rPr>
            </w:pPr>
            <w:r w:rsidRPr="674B62DA">
              <w:rPr>
                <w:rFonts w:asciiTheme="minorHAnsi" w:hAnsiTheme="minorHAnsi"/>
              </w:rPr>
              <w:t>Likely</w:t>
            </w:r>
          </w:p>
        </w:tc>
        <w:tc>
          <w:tcPr>
            <w:tcW w:w="2223" w:type="dxa"/>
          </w:tcPr>
          <w:p w14:paraId="5EECFCFE" w14:textId="77777777" w:rsidR="00B43F16" w:rsidRPr="00492BE0" w:rsidRDefault="6919A12E" w:rsidP="674B62DA">
            <w:pPr>
              <w:pStyle w:val="ListBullet"/>
              <w:rPr>
                <w:rFonts w:asciiTheme="minorHAnsi" w:hAnsiTheme="minorHAnsi"/>
              </w:rPr>
            </w:pPr>
            <w:r w:rsidRPr="674B62DA">
              <w:rPr>
                <w:rFonts w:asciiTheme="minorHAnsi" w:hAnsiTheme="minorHAnsi"/>
              </w:rPr>
              <w:t>Prepare Now</w:t>
            </w:r>
          </w:p>
          <w:p w14:paraId="44B27C68" w14:textId="77777777" w:rsidR="00B43F16" w:rsidRPr="00492BE0" w:rsidRDefault="6919A12E" w:rsidP="674B62DA">
            <w:pPr>
              <w:pStyle w:val="ListBullet"/>
              <w:rPr>
                <w:rFonts w:asciiTheme="minorHAnsi" w:hAnsiTheme="minorHAnsi"/>
              </w:rPr>
            </w:pPr>
            <w:r w:rsidRPr="674B62DA">
              <w:rPr>
                <w:rFonts w:asciiTheme="minorHAnsi" w:hAnsiTheme="minorHAnsi"/>
              </w:rPr>
              <w:t>Stay Informed</w:t>
            </w:r>
          </w:p>
          <w:p w14:paraId="0E5B88D0" w14:textId="77777777" w:rsidR="00B43F16" w:rsidRPr="00492BE0" w:rsidRDefault="6919A12E" w:rsidP="674B62DA">
            <w:pPr>
              <w:pStyle w:val="ListBullet"/>
              <w:rPr>
                <w:rFonts w:asciiTheme="minorHAnsi" w:hAnsiTheme="minorHAnsi"/>
              </w:rPr>
            </w:pPr>
            <w:r w:rsidRPr="674B62DA">
              <w:rPr>
                <w:rFonts w:asciiTheme="minorHAnsi" w:hAnsiTheme="minorHAnsi"/>
              </w:rPr>
              <w:t>Monitor Conditions</w:t>
            </w:r>
          </w:p>
        </w:tc>
        <w:tc>
          <w:tcPr>
            <w:tcW w:w="1283" w:type="dxa"/>
          </w:tcPr>
          <w:p w14:paraId="689C3DAC" w14:textId="77777777" w:rsidR="00B43F16" w:rsidRPr="00492BE0" w:rsidRDefault="6919A12E" w:rsidP="674B62DA">
            <w:pPr>
              <w:pStyle w:val="ListBullet"/>
              <w:rPr>
                <w:rFonts w:asciiTheme="minorHAnsi" w:hAnsiTheme="minorHAnsi"/>
              </w:rPr>
            </w:pPr>
            <w:r w:rsidRPr="674B62DA">
              <w:rPr>
                <w:rFonts w:asciiTheme="minorHAnsi" w:hAnsiTheme="minorHAnsi"/>
              </w:rPr>
              <w:t>Prepare</w:t>
            </w:r>
          </w:p>
          <w:p w14:paraId="4CF6CC78" w14:textId="77777777" w:rsidR="00B43F16" w:rsidRPr="00492BE0" w:rsidRDefault="6919A12E" w:rsidP="674B62DA">
            <w:pPr>
              <w:pStyle w:val="ListBullet"/>
              <w:rPr>
                <w:rFonts w:asciiTheme="minorHAnsi" w:hAnsiTheme="minorHAnsi"/>
              </w:rPr>
            </w:pPr>
            <w:r w:rsidRPr="674B62DA">
              <w:rPr>
                <w:rFonts w:asciiTheme="minorHAnsi" w:hAnsiTheme="minorHAnsi"/>
              </w:rPr>
              <w:t>Monitor</w:t>
            </w:r>
          </w:p>
        </w:tc>
        <w:tc>
          <w:tcPr>
            <w:tcW w:w="1261" w:type="dxa"/>
          </w:tcPr>
          <w:p w14:paraId="330F0165" w14:textId="77777777" w:rsidR="00B43F16" w:rsidRPr="00492BE0" w:rsidRDefault="6919A12E" w:rsidP="674B62DA">
            <w:pPr>
              <w:pStyle w:val="Tablebodytext"/>
              <w:rPr>
                <w:rFonts w:asciiTheme="minorHAnsi" w:hAnsiTheme="minorHAnsi"/>
              </w:rPr>
            </w:pPr>
            <w:r w:rsidRPr="674B62DA">
              <w:rPr>
                <w:rFonts w:asciiTheme="minorHAnsi" w:hAnsiTheme="minorHAnsi"/>
              </w:rPr>
              <w:t>Expected</w:t>
            </w:r>
          </w:p>
        </w:tc>
      </w:tr>
      <w:tr w:rsidR="00B43F16" w:rsidRPr="00FA7F41" w14:paraId="463B0709" w14:textId="77777777" w:rsidTr="674B62DA">
        <w:trPr>
          <w:cnfStyle w:val="000000010000" w:firstRow="0" w:lastRow="0" w:firstColumn="0" w:lastColumn="0" w:oddVBand="0" w:evenVBand="0" w:oddHBand="0" w:evenHBand="1" w:firstRowFirstColumn="0" w:firstRowLastColumn="0" w:lastRowFirstColumn="0" w:lastRowLastColumn="0"/>
        </w:trPr>
        <w:tc>
          <w:tcPr>
            <w:tcW w:w="1333" w:type="dxa"/>
          </w:tcPr>
          <w:p w14:paraId="02362ABE" w14:textId="77777777" w:rsidR="00B43F16" w:rsidRPr="00492BE0" w:rsidRDefault="6919A12E" w:rsidP="674B62DA">
            <w:pPr>
              <w:pStyle w:val="Tablebodytext"/>
              <w:rPr>
                <w:rFonts w:asciiTheme="minorHAnsi" w:hAnsiTheme="minorHAnsi"/>
              </w:rPr>
            </w:pPr>
            <w:r w:rsidRPr="674B62DA">
              <w:rPr>
                <w:rFonts w:asciiTheme="minorHAnsi" w:hAnsiTheme="minorHAnsi"/>
              </w:rPr>
              <w:t>0-1</w:t>
            </w:r>
          </w:p>
        </w:tc>
        <w:tc>
          <w:tcPr>
            <w:tcW w:w="1304" w:type="dxa"/>
            <w:shd w:val="clear" w:color="auto" w:fill="FFFF00"/>
          </w:tcPr>
          <w:p w14:paraId="731265F4" w14:textId="77777777" w:rsidR="00B43F16" w:rsidRPr="00492BE0" w:rsidRDefault="6919A12E" w:rsidP="674B62DA">
            <w:pPr>
              <w:pStyle w:val="Tablebodytext"/>
              <w:rPr>
                <w:rFonts w:asciiTheme="minorHAnsi" w:hAnsiTheme="minorHAnsi"/>
              </w:rPr>
            </w:pPr>
            <w:r w:rsidRPr="674B62DA">
              <w:rPr>
                <w:rFonts w:asciiTheme="minorHAnsi" w:hAnsiTheme="minorHAnsi"/>
              </w:rPr>
              <w:t>Advice</w:t>
            </w:r>
          </w:p>
        </w:tc>
        <w:tc>
          <w:tcPr>
            <w:tcW w:w="1127" w:type="dxa"/>
          </w:tcPr>
          <w:p w14:paraId="23DE44EB" w14:textId="77777777" w:rsidR="00B43F16" w:rsidRPr="00492BE0" w:rsidRDefault="6919A12E" w:rsidP="674B62DA">
            <w:pPr>
              <w:pStyle w:val="Tablebodytext"/>
              <w:rPr>
                <w:rFonts w:asciiTheme="minorHAnsi" w:hAnsiTheme="minorHAnsi"/>
              </w:rPr>
            </w:pPr>
            <w:r w:rsidRPr="674B62DA">
              <w:rPr>
                <w:rFonts w:asciiTheme="minorHAnsi" w:hAnsiTheme="minorHAnsi"/>
              </w:rPr>
              <w:t>Moderate</w:t>
            </w:r>
          </w:p>
        </w:tc>
        <w:tc>
          <w:tcPr>
            <w:tcW w:w="1238" w:type="dxa"/>
          </w:tcPr>
          <w:p w14:paraId="2106BEEB" w14:textId="77777777" w:rsidR="00B43F16" w:rsidRPr="00492BE0" w:rsidRDefault="6919A12E" w:rsidP="674B62DA">
            <w:pPr>
              <w:pStyle w:val="Tablebodytext"/>
              <w:rPr>
                <w:rFonts w:asciiTheme="minorHAnsi" w:hAnsiTheme="minorHAnsi"/>
              </w:rPr>
            </w:pPr>
            <w:r w:rsidRPr="674B62DA">
              <w:rPr>
                <w:rFonts w:asciiTheme="minorHAnsi" w:hAnsiTheme="minorHAnsi"/>
              </w:rPr>
              <w:t>Observed</w:t>
            </w:r>
          </w:p>
        </w:tc>
        <w:tc>
          <w:tcPr>
            <w:tcW w:w="2223" w:type="dxa"/>
          </w:tcPr>
          <w:p w14:paraId="1AD70528" w14:textId="77777777" w:rsidR="00B43F16" w:rsidRPr="00492BE0" w:rsidRDefault="6919A12E" w:rsidP="674B62DA">
            <w:pPr>
              <w:pStyle w:val="ListBullet"/>
              <w:rPr>
                <w:rFonts w:asciiTheme="minorHAnsi" w:hAnsiTheme="minorHAnsi"/>
              </w:rPr>
            </w:pPr>
            <w:r w:rsidRPr="674B62DA">
              <w:rPr>
                <w:rFonts w:asciiTheme="minorHAnsi" w:hAnsiTheme="minorHAnsi"/>
              </w:rPr>
              <w:t>Prepare Now</w:t>
            </w:r>
          </w:p>
          <w:p w14:paraId="45ED8375" w14:textId="77777777" w:rsidR="00B43F16" w:rsidRPr="00492BE0" w:rsidRDefault="6919A12E" w:rsidP="674B62DA">
            <w:pPr>
              <w:pStyle w:val="ListBullet"/>
              <w:rPr>
                <w:rFonts w:asciiTheme="minorHAnsi" w:hAnsiTheme="minorHAnsi"/>
              </w:rPr>
            </w:pPr>
            <w:r w:rsidRPr="674B62DA">
              <w:rPr>
                <w:rFonts w:asciiTheme="minorHAnsi" w:hAnsiTheme="minorHAnsi"/>
              </w:rPr>
              <w:t>Stay Informed</w:t>
            </w:r>
          </w:p>
          <w:p w14:paraId="43D8F49F" w14:textId="77777777" w:rsidR="00B43F16" w:rsidRPr="00492BE0" w:rsidRDefault="6919A12E" w:rsidP="674B62DA">
            <w:pPr>
              <w:pStyle w:val="ListBullet"/>
              <w:rPr>
                <w:rFonts w:asciiTheme="minorHAnsi" w:hAnsiTheme="minorHAnsi"/>
              </w:rPr>
            </w:pPr>
            <w:r w:rsidRPr="674B62DA">
              <w:rPr>
                <w:rFonts w:asciiTheme="minorHAnsi" w:hAnsiTheme="minorHAnsi"/>
              </w:rPr>
              <w:t>Monitor Conditions</w:t>
            </w:r>
          </w:p>
        </w:tc>
        <w:tc>
          <w:tcPr>
            <w:tcW w:w="1283" w:type="dxa"/>
          </w:tcPr>
          <w:p w14:paraId="752D5EC9" w14:textId="77777777" w:rsidR="00B43F16" w:rsidRPr="00492BE0" w:rsidRDefault="6919A12E" w:rsidP="674B62DA">
            <w:pPr>
              <w:pStyle w:val="ListBullet"/>
              <w:rPr>
                <w:rFonts w:asciiTheme="minorHAnsi" w:hAnsiTheme="minorHAnsi"/>
              </w:rPr>
            </w:pPr>
            <w:r w:rsidRPr="674B62DA">
              <w:rPr>
                <w:rFonts w:asciiTheme="minorHAnsi" w:hAnsiTheme="minorHAnsi"/>
              </w:rPr>
              <w:t>Prepare</w:t>
            </w:r>
          </w:p>
          <w:p w14:paraId="689A3BDB" w14:textId="77777777" w:rsidR="00B43F16" w:rsidRPr="00492BE0" w:rsidRDefault="6919A12E" w:rsidP="674B62DA">
            <w:pPr>
              <w:pStyle w:val="ListBullet"/>
              <w:rPr>
                <w:rFonts w:asciiTheme="minorHAnsi" w:hAnsiTheme="minorHAnsi"/>
              </w:rPr>
            </w:pPr>
            <w:r w:rsidRPr="674B62DA">
              <w:rPr>
                <w:rFonts w:asciiTheme="minorHAnsi" w:hAnsiTheme="minorHAnsi"/>
              </w:rPr>
              <w:t>Monitor</w:t>
            </w:r>
          </w:p>
        </w:tc>
        <w:tc>
          <w:tcPr>
            <w:tcW w:w="1261" w:type="dxa"/>
          </w:tcPr>
          <w:p w14:paraId="7FF71DB1" w14:textId="77777777" w:rsidR="00B43F16" w:rsidRPr="00492BE0" w:rsidRDefault="6919A12E" w:rsidP="674B62DA">
            <w:pPr>
              <w:pStyle w:val="Tablebodytext"/>
              <w:rPr>
                <w:rFonts w:asciiTheme="minorHAnsi" w:hAnsiTheme="minorHAnsi"/>
              </w:rPr>
            </w:pPr>
            <w:r w:rsidRPr="674B62DA">
              <w:rPr>
                <w:rFonts w:asciiTheme="minorHAnsi" w:hAnsiTheme="minorHAnsi"/>
              </w:rPr>
              <w:t>Immediate</w:t>
            </w:r>
          </w:p>
        </w:tc>
      </w:tr>
      <w:tr w:rsidR="00B43F16" w:rsidRPr="00FA7F41" w14:paraId="208DCE15" w14:textId="77777777" w:rsidTr="674B62DA">
        <w:trPr>
          <w:cnfStyle w:val="000000100000" w:firstRow="0" w:lastRow="0" w:firstColumn="0" w:lastColumn="0" w:oddVBand="0" w:evenVBand="0" w:oddHBand="1" w:evenHBand="0" w:firstRowFirstColumn="0" w:firstRowLastColumn="0" w:lastRowFirstColumn="0" w:lastRowLastColumn="0"/>
        </w:trPr>
        <w:tc>
          <w:tcPr>
            <w:tcW w:w="1333" w:type="dxa"/>
          </w:tcPr>
          <w:p w14:paraId="6189C84C" w14:textId="77777777" w:rsidR="00B43F16" w:rsidRPr="00492BE0" w:rsidRDefault="6919A12E" w:rsidP="674B62DA">
            <w:pPr>
              <w:pStyle w:val="Tablebodytext"/>
              <w:rPr>
                <w:rFonts w:asciiTheme="minorHAnsi" w:hAnsiTheme="minorHAnsi"/>
              </w:rPr>
            </w:pPr>
            <w:r w:rsidRPr="674B62DA">
              <w:rPr>
                <w:rFonts w:asciiTheme="minorHAnsi" w:hAnsiTheme="minorHAnsi"/>
              </w:rPr>
              <w:t>&gt;1&lt;3</w:t>
            </w:r>
          </w:p>
        </w:tc>
        <w:tc>
          <w:tcPr>
            <w:tcW w:w="1304" w:type="dxa"/>
            <w:shd w:val="clear" w:color="auto" w:fill="FFFF00"/>
          </w:tcPr>
          <w:p w14:paraId="7DD5F840" w14:textId="77777777" w:rsidR="00B43F16" w:rsidRPr="00492BE0" w:rsidRDefault="6919A12E" w:rsidP="674B62DA">
            <w:pPr>
              <w:pStyle w:val="Tablebodytext"/>
              <w:rPr>
                <w:rFonts w:asciiTheme="minorHAnsi" w:hAnsiTheme="minorHAnsi"/>
              </w:rPr>
            </w:pPr>
            <w:r w:rsidRPr="674B62DA">
              <w:rPr>
                <w:rFonts w:asciiTheme="minorHAnsi" w:hAnsiTheme="minorHAnsi"/>
              </w:rPr>
              <w:t>Advice</w:t>
            </w:r>
          </w:p>
        </w:tc>
        <w:tc>
          <w:tcPr>
            <w:tcW w:w="1127" w:type="dxa"/>
          </w:tcPr>
          <w:p w14:paraId="14A1BDFE" w14:textId="77777777" w:rsidR="00B43F16" w:rsidRPr="00492BE0" w:rsidRDefault="6919A12E" w:rsidP="674B62DA">
            <w:pPr>
              <w:pStyle w:val="Tablebodytext"/>
              <w:rPr>
                <w:rFonts w:asciiTheme="minorHAnsi" w:hAnsiTheme="minorHAnsi"/>
              </w:rPr>
            </w:pPr>
            <w:r w:rsidRPr="674B62DA">
              <w:rPr>
                <w:rFonts w:asciiTheme="minorHAnsi" w:hAnsiTheme="minorHAnsi"/>
              </w:rPr>
              <w:t>Severe</w:t>
            </w:r>
          </w:p>
        </w:tc>
        <w:tc>
          <w:tcPr>
            <w:tcW w:w="1238" w:type="dxa"/>
          </w:tcPr>
          <w:p w14:paraId="1C026DCD" w14:textId="77777777" w:rsidR="00B43F16" w:rsidRPr="00492BE0" w:rsidRDefault="6919A12E" w:rsidP="674B62DA">
            <w:pPr>
              <w:pStyle w:val="Tablebodytext"/>
              <w:rPr>
                <w:rFonts w:asciiTheme="minorHAnsi" w:hAnsiTheme="minorHAnsi"/>
              </w:rPr>
            </w:pPr>
            <w:r w:rsidRPr="674B62DA">
              <w:rPr>
                <w:rFonts w:asciiTheme="minorHAnsi" w:hAnsiTheme="minorHAnsi"/>
              </w:rPr>
              <w:t>Possible</w:t>
            </w:r>
          </w:p>
        </w:tc>
        <w:tc>
          <w:tcPr>
            <w:tcW w:w="2223" w:type="dxa"/>
          </w:tcPr>
          <w:p w14:paraId="243B119D" w14:textId="77777777" w:rsidR="00B43F16" w:rsidRPr="00492BE0" w:rsidRDefault="6919A12E" w:rsidP="674B62DA">
            <w:pPr>
              <w:pStyle w:val="ListBullet"/>
              <w:rPr>
                <w:rFonts w:asciiTheme="minorHAnsi" w:hAnsiTheme="minorHAnsi"/>
              </w:rPr>
            </w:pPr>
            <w:r w:rsidRPr="674B62DA">
              <w:rPr>
                <w:rFonts w:asciiTheme="minorHAnsi" w:hAnsiTheme="minorHAnsi"/>
              </w:rPr>
              <w:t>Prepare Now</w:t>
            </w:r>
          </w:p>
          <w:p w14:paraId="091F7A19" w14:textId="77777777" w:rsidR="00B43F16" w:rsidRPr="00492BE0" w:rsidRDefault="6919A12E" w:rsidP="674B62DA">
            <w:pPr>
              <w:pStyle w:val="ListBullet"/>
              <w:rPr>
                <w:rFonts w:asciiTheme="minorHAnsi" w:hAnsiTheme="minorHAnsi"/>
              </w:rPr>
            </w:pPr>
            <w:r w:rsidRPr="674B62DA">
              <w:rPr>
                <w:rFonts w:asciiTheme="minorHAnsi" w:hAnsiTheme="minorHAnsi"/>
              </w:rPr>
              <w:t>Stay Informed</w:t>
            </w:r>
          </w:p>
          <w:p w14:paraId="179BBE31" w14:textId="77777777" w:rsidR="00B43F16" w:rsidRPr="00492BE0" w:rsidRDefault="6919A12E" w:rsidP="674B62DA">
            <w:pPr>
              <w:pStyle w:val="ListBullet"/>
              <w:rPr>
                <w:rFonts w:asciiTheme="minorHAnsi" w:hAnsiTheme="minorHAnsi"/>
              </w:rPr>
            </w:pPr>
            <w:r w:rsidRPr="674B62DA">
              <w:rPr>
                <w:rFonts w:asciiTheme="minorHAnsi" w:hAnsiTheme="minorHAnsi"/>
              </w:rPr>
              <w:lastRenderedPageBreak/>
              <w:t>Monitor Conditions</w:t>
            </w:r>
          </w:p>
        </w:tc>
        <w:tc>
          <w:tcPr>
            <w:tcW w:w="1283" w:type="dxa"/>
          </w:tcPr>
          <w:p w14:paraId="4CDC1E9D" w14:textId="77777777" w:rsidR="00B43F16" w:rsidRPr="00492BE0" w:rsidRDefault="6919A12E" w:rsidP="674B62DA">
            <w:pPr>
              <w:pStyle w:val="ListBullet"/>
              <w:rPr>
                <w:rFonts w:asciiTheme="minorHAnsi" w:hAnsiTheme="minorHAnsi"/>
              </w:rPr>
            </w:pPr>
            <w:r w:rsidRPr="674B62DA">
              <w:rPr>
                <w:rFonts w:asciiTheme="minorHAnsi" w:hAnsiTheme="minorHAnsi"/>
              </w:rPr>
              <w:lastRenderedPageBreak/>
              <w:t>Prepare</w:t>
            </w:r>
          </w:p>
          <w:p w14:paraId="338F4B72" w14:textId="77777777" w:rsidR="00B43F16" w:rsidRPr="00492BE0" w:rsidRDefault="6919A12E" w:rsidP="674B62DA">
            <w:pPr>
              <w:pStyle w:val="ListBullet"/>
              <w:rPr>
                <w:rFonts w:asciiTheme="minorHAnsi" w:hAnsiTheme="minorHAnsi"/>
              </w:rPr>
            </w:pPr>
            <w:r w:rsidRPr="674B62DA">
              <w:rPr>
                <w:rFonts w:asciiTheme="minorHAnsi" w:hAnsiTheme="minorHAnsi"/>
              </w:rPr>
              <w:t>Monitor</w:t>
            </w:r>
          </w:p>
        </w:tc>
        <w:tc>
          <w:tcPr>
            <w:tcW w:w="1261" w:type="dxa"/>
          </w:tcPr>
          <w:p w14:paraId="1B4E2929" w14:textId="77777777" w:rsidR="00B43F16" w:rsidRPr="00492BE0" w:rsidRDefault="6919A12E" w:rsidP="674B62DA">
            <w:pPr>
              <w:pStyle w:val="Tablebodytext"/>
              <w:rPr>
                <w:rFonts w:asciiTheme="minorHAnsi" w:hAnsiTheme="minorHAnsi"/>
              </w:rPr>
            </w:pPr>
            <w:r w:rsidRPr="674B62DA">
              <w:rPr>
                <w:rFonts w:asciiTheme="minorHAnsi" w:hAnsiTheme="minorHAnsi"/>
              </w:rPr>
              <w:t>Future</w:t>
            </w:r>
          </w:p>
        </w:tc>
      </w:tr>
      <w:tr w:rsidR="00B43F16" w:rsidRPr="00FA7F41" w14:paraId="483EE4D5" w14:textId="77777777" w:rsidTr="674B62DA">
        <w:trPr>
          <w:cnfStyle w:val="000000010000" w:firstRow="0" w:lastRow="0" w:firstColumn="0" w:lastColumn="0" w:oddVBand="0" w:evenVBand="0" w:oddHBand="0" w:evenHBand="1" w:firstRowFirstColumn="0" w:firstRowLastColumn="0" w:lastRowFirstColumn="0" w:lastRowLastColumn="0"/>
        </w:trPr>
        <w:tc>
          <w:tcPr>
            <w:tcW w:w="1333" w:type="dxa"/>
          </w:tcPr>
          <w:p w14:paraId="7B27BA57" w14:textId="77777777" w:rsidR="00B43F16" w:rsidRPr="00492BE0" w:rsidRDefault="6919A12E" w:rsidP="674B62DA">
            <w:pPr>
              <w:pStyle w:val="Tablebodytext"/>
              <w:rPr>
                <w:rFonts w:asciiTheme="minorHAnsi" w:hAnsiTheme="minorHAnsi"/>
              </w:rPr>
            </w:pPr>
            <w:r w:rsidRPr="674B62DA">
              <w:rPr>
                <w:rFonts w:asciiTheme="minorHAnsi" w:hAnsiTheme="minorHAnsi"/>
              </w:rPr>
              <w:t>&gt;3</w:t>
            </w:r>
          </w:p>
        </w:tc>
        <w:tc>
          <w:tcPr>
            <w:tcW w:w="1304" w:type="dxa"/>
            <w:shd w:val="clear" w:color="auto" w:fill="FFFF00"/>
          </w:tcPr>
          <w:p w14:paraId="3E249D15" w14:textId="77777777" w:rsidR="00B43F16" w:rsidRPr="00492BE0" w:rsidRDefault="6919A12E" w:rsidP="674B62DA">
            <w:pPr>
              <w:pStyle w:val="Tablebodytext"/>
              <w:rPr>
                <w:rFonts w:asciiTheme="minorHAnsi" w:hAnsiTheme="minorHAnsi"/>
              </w:rPr>
            </w:pPr>
            <w:r w:rsidRPr="674B62DA">
              <w:rPr>
                <w:rFonts w:asciiTheme="minorHAnsi" w:hAnsiTheme="minorHAnsi"/>
              </w:rPr>
              <w:t>Advice</w:t>
            </w:r>
          </w:p>
        </w:tc>
        <w:tc>
          <w:tcPr>
            <w:tcW w:w="1127" w:type="dxa"/>
          </w:tcPr>
          <w:p w14:paraId="1DAB03AD" w14:textId="77777777" w:rsidR="00B43F16" w:rsidRPr="00492BE0" w:rsidRDefault="6919A12E" w:rsidP="674B62DA">
            <w:pPr>
              <w:pStyle w:val="Tablebodytext"/>
              <w:rPr>
                <w:rFonts w:asciiTheme="minorHAnsi" w:hAnsiTheme="minorHAnsi"/>
              </w:rPr>
            </w:pPr>
            <w:r w:rsidRPr="674B62DA">
              <w:rPr>
                <w:rFonts w:asciiTheme="minorHAnsi" w:hAnsiTheme="minorHAnsi"/>
              </w:rPr>
              <w:t>Extreme</w:t>
            </w:r>
          </w:p>
        </w:tc>
        <w:tc>
          <w:tcPr>
            <w:tcW w:w="1238" w:type="dxa"/>
          </w:tcPr>
          <w:p w14:paraId="44B8BD8B" w14:textId="77777777" w:rsidR="00B43F16" w:rsidRPr="00492BE0" w:rsidRDefault="6919A12E" w:rsidP="674B62DA">
            <w:pPr>
              <w:pStyle w:val="Tablebodytext"/>
              <w:rPr>
                <w:rFonts w:asciiTheme="minorHAnsi" w:hAnsiTheme="minorHAnsi"/>
              </w:rPr>
            </w:pPr>
            <w:r w:rsidRPr="674B62DA">
              <w:rPr>
                <w:rFonts w:asciiTheme="minorHAnsi" w:hAnsiTheme="minorHAnsi"/>
              </w:rPr>
              <w:t>Possible</w:t>
            </w:r>
          </w:p>
        </w:tc>
        <w:tc>
          <w:tcPr>
            <w:tcW w:w="2223" w:type="dxa"/>
          </w:tcPr>
          <w:p w14:paraId="7E4C5216" w14:textId="77777777" w:rsidR="00B43F16" w:rsidRPr="00492BE0" w:rsidRDefault="6919A12E" w:rsidP="674B62DA">
            <w:pPr>
              <w:pStyle w:val="ListBullet"/>
              <w:rPr>
                <w:rFonts w:asciiTheme="minorHAnsi" w:hAnsiTheme="minorHAnsi"/>
              </w:rPr>
            </w:pPr>
            <w:r w:rsidRPr="674B62DA">
              <w:rPr>
                <w:rFonts w:asciiTheme="minorHAnsi" w:hAnsiTheme="minorHAnsi"/>
              </w:rPr>
              <w:t>Prepare Now</w:t>
            </w:r>
          </w:p>
          <w:p w14:paraId="50F618F7" w14:textId="77777777" w:rsidR="00B43F16" w:rsidRPr="00492BE0" w:rsidRDefault="6919A12E" w:rsidP="674B62DA">
            <w:pPr>
              <w:pStyle w:val="ListBullet"/>
              <w:rPr>
                <w:rFonts w:asciiTheme="minorHAnsi" w:hAnsiTheme="minorHAnsi"/>
              </w:rPr>
            </w:pPr>
            <w:r w:rsidRPr="674B62DA">
              <w:rPr>
                <w:rFonts w:asciiTheme="minorHAnsi" w:hAnsiTheme="minorHAnsi"/>
              </w:rPr>
              <w:t>Stay Informed</w:t>
            </w:r>
          </w:p>
          <w:p w14:paraId="0C28A90E" w14:textId="77777777" w:rsidR="00B43F16" w:rsidRPr="00492BE0" w:rsidRDefault="6919A12E" w:rsidP="674B62DA">
            <w:pPr>
              <w:pStyle w:val="ListBullet"/>
              <w:rPr>
                <w:rFonts w:asciiTheme="minorHAnsi" w:hAnsiTheme="minorHAnsi"/>
              </w:rPr>
            </w:pPr>
            <w:r w:rsidRPr="674B62DA">
              <w:rPr>
                <w:rFonts w:asciiTheme="minorHAnsi" w:hAnsiTheme="minorHAnsi"/>
              </w:rPr>
              <w:t>Monitor Conditions</w:t>
            </w:r>
          </w:p>
        </w:tc>
        <w:tc>
          <w:tcPr>
            <w:tcW w:w="1283" w:type="dxa"/>
          </w:tcPr>
          <w:p w14:paraId="0EEA3217" w14:textId="77777777" w:rsidR="00B43F16" w:rsidRPr="00492BE0" w:rsidRDefault="6919A12E" w:rsidP="674B62DA">
            <w:pPr>
              <w:pStyle w:val="ListBullet"/>
              <w:rPr>
                <w:rFonts w:asciiTheme="minorHAnsi" w:hAnsiTheme="minorHAnsi"/>
              </w:rPr>
            </w:pPr>
            <w:r w:rsidRPr="674B62DA">
              <w:rPr>
                <w:rFonts w:asciiTheme="minorHAnsi" w:hAnsiTheme="minorHAnsi"/>
              </w:rPr>
              <w:t>Prepare</w:t>
            </w:r>
          </w:p>
          <w:p w14:paraId="49905214" w14:textId="77777777" w:rsidR="00B43F16" w:rsidRPr="00492BE0" w:rsidRDefault="6919A12E" w:rsidP="674B62DA">
            <w:pPr>
              <w:pStyle w:val="ListBullet"/>
              <w:rPr>
                <w:rFonts w:asciiTheme="minorHAnsi" w:hAnsiTheme="minorHAnsi"/>
              </w:rPr>
            </w:pPr>
            <w:r w:rsidRPr="674B62DA">
              <w:rPr>
                <w:rFonts w:asciiTheme="minorHAnsi" w:hAnsiTheme="minorHAnsi"/>
              </w:rPr>
              <w:t>Monitor</w:t>
            </w:r>
          </w:p>
        </w:tc>
        <w:tc>
          <w:tcPr>
            <w:tcW w:w="1261" w:type="dxa"/>
          </w:tcPr>
          <w:p w14:paraId="40A9AC2C" w14:textId="77777777" w:rsidR="00B43F16" w:rsidRPr="00492BE0" w:rsidRDefault="6919A12E" w:rsidP="674B62DA">
            <w:pPr>
              <w:pStyle w:val="Tablebodytext"/>
              <w:rPr>
                <w:rFonts w:asciiTheme="minorHAnsi" w:hAnsiTheme="minorHAnsi"/>
              </w:rPr>
            </w:pPr>
            <w:r w:rsidRPr="674B62DA">
              <w:rPr>
                <w:rFonts w:asciiTheme="minorHAnsi" w:hAnsiTheme="minorHAnsi"/>
              </w:rPr>
              <w:t>Future</w:t>
            </w:r>
          </w:p>
        </w:tc>
      </w:tr>
      <w:tr w:rsidR="00B43F16" w:rsidRPr="00FA7F41" w14:paraId="646866A4" w14:textId="77777777" w:rsidTr="674B62DA">
        <w:trPr>
          <w:cnfStyle w:val="000000100000" w:firstRow="0" w:lastRow="0" w:firstColumn="0" w:lastColumn="0" w:oddVBand="0" w:evenVBand="0" w:oddHBand="1" w:evenHBand="0" w:firstRowFirstColumn="0" w:firstRowLastColumn="0" w:lastRowFirstColumn="0" w:lastRowLastColumn="0"/>
        </w:trPr>
        <w:tc>
          <w:tcPr>
            <w:tcW w:w="1333" w:type="dxa"/>
          </w:tcPr>
          <w:p w14:paraId="2FDD98D8"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&gt;1&lt;3</w:t>
            </w:r>
          </w:p>
        </w:tc>
        <w:tc>
          <w:tcPr>
            <w:tcW w:w="1304" w:type="dxa"/>
            <w:shd w:val="clear" w:color="auto" w:fill="FFC000"/>
          </w:tcPr>
          <w:p w14:paraId="633D6BA9"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Watch and Act</w:t>
            </w:r>
          </w:p>
        </w:tc>
        <w:tc>
          <w:tcPr>
            <w:tcW w:w="1127" w:type="dxa"/>
          </w:tcPr>
          <w:p w14:paraId="46582064"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Severe</w:t>
            </w:r>
          </w:p>
        </w:tc>
        <w:tc>
          <w:tcPr>
            <w:tcW w:w="1238" w:type="dxa"/>
          </w:tcPr>
          <w:p w14:paraId="3DDF68AE"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Likely</w:t>
            </w:r>
          </w:p>
        </w:tc>
        <w:tc>
          <w:tcPr>
            <w:tcW w:w="2223" w:type="dxa"/>
          </w:tcPr>
          <w:p w14:paraId="3EBFB892" w14:textId="77777777" w:rsidR="00B43F16" w:rsidRPr="00492BE0" w:rsidRDefault="6919A12E" w:rsidP="674B62DA">
            <w:pPr>
              <w:pStyle w:val="Tablebodytext"/>
              <w:rPr>
                <w:rFonts w:asciiTheme="minorHAnsi" w:hAnsiTheme="minorHAnsi"/>
              </w:rPr>
            </w:pPr>
            <w:r w:rsidRPr="674B62DA">
              <w:rPr>
                <w:rFonts w:asciiTheme="minorHAnsi" w:hAnsiTheme="minorHAnsi"/>
              </w:rPr>
              <w:t>Action statement 1</w:t>
            </w:r>
          </w:p>
          <w:p w14:paraId="5C189F51" w14:textId="77777777" w:rsidR="00B43F16" w:rsidRPr="00492BE0" w:rsidRDefault="6919A12E" w:rsidP="674B62DA">
            <w:pPr>
              <w:pStyle w:val="Tablebodytext"/>
              <w:rPr>
                <w:rFonts w:asciiTheme="minorHAnsi" w:hAnsiTheme="minorHAnsi"/>
              </w:rPr>
            </w:pPr>
            <w:r w:rsidRPr="674B62DA">
              <w:rPr>
                <w:rFonts w:asciiTheme="minorHAnsi" w:hAnsiTheme="minorHAnsi"/>
              </w:rPr>
              <w:t>Action statement 2</w:t>
            </w:r>
          </w:p>
          <w:p w14:paraId="37A4BDF1" w14:textId="77777777" w:rsidR="00B43F16" w:rsidRPr="00492BE0" w:rsidRDefault="6919A12E" w:rsidP="674B62DA">
            <w:pPr>
              <w:pStyle w:val="Tablebodytext"/>
              <w:rPr>
                <w:rFonts w:asciiTheme="minorHAnsi" w:hAnsiTheme="minorHAnsi"/>
              </w:rPr>
            </w:pPr>
            <w:r w:rsidRPr="674B62DA">
              <w:rPr>
                <w:rFonts w:asciiTheme="minorHAnsi" w:hAnsiTheme="minorHAnsi"/>
              </w:rPr>
              <w:t>Action statement 3</w:t>
            </w:r>
          </w:p>
        </w:tc>
        <w:tc>
          <w:tcPr>
            <w:tcW w:w="1283" w:type="dxa"/>
          </w:tcPr>
          <w:p w14:paraId="4617A662" w14:textId="77777777" w:rsidR="00B43F16" w:rsidRPr="00492BE0" w:rsidRDefault="6919A12E" w:rsidP="674B62DA">
            <w:pPr>
              <w:pStyle w:val="ListBullet"/>
              <w:numPr>
                <w:ilvl w:val="0"/>
                <w:numId w:val="0"/>
              </w:numPr>
              <w:rPr>
                <w:rFonts w:asciiTheme="minorHAnsi" w:hAnsiTheme="minorHAnsi"/>
              </w:rPr>
            </w:pPr>
            <w:r w:rsidRPr="674B62DA">
              <w:rPr>
                <w:rFonts w:asciiTheme="minorHAnsi" w:hAnsiTheme="minorHAnsi"/>
              </w:rPr>
              <w:t>Avoid</w:t>
            </w:r>
          </w:p>
        </w:tc>
        <w:tc>
          <w:tcPr>
            <w:tcW w:w="1261" w:type="dxa"/>
          </w:tcPr>
          <w:p w14:paraId="1456E3A8"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Expected</w:t>
            </w:r>
          </w:p>
        </w:tc>
      </w:tr>
      <w:tr w:rsidR="00B43F16" w:rsidRPr="00FA7F41" w14:paraId="44C0A42E" w14:textId="77777777" w:rsidTr="674B62DA">
        <w:trPr>
          <w:cnfStyle w:val="000000010000" w:firstRow="0" w:lastRow="0" w:firstColumn="0" w:lastColumn="0" w:oddVBand="0" w:evenVBand="0" w:oddHBand="0" w:evenHBand="1" w:firstRowFirstColumn="0" w:firstRowLastColumn="0" w:lastRowFirstColumn="0" w:lastRowLastColumn="0"/>
        </w:trPr>
        <w:tc>
          <w:tcPr>
            <w:tcW w:w="1333" w:type="dxa"/>
          </w:tcPr>
          <w:p w14:paraId="14368DC7"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&gt;1&lt;3</w:t>
            </w:r>
          </w:p>
        </w:tc>
        <w:tc>
          <w:tcPr>
            <w:tcW w:w="1304" w:type="dxa"/>
            <w:shd w:val="clear" w:color="auto" w:fill="FFC000"/>
          </w:tcPr>
          <w:p w14:paraId="0BE9C9DD"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Watch and Act</w:t>
            </w:r>
          </w:p>
        </w:tc>
        <w:tc>
          <w:tcPr>
            <w:tcW w:w="1127" w:type="dxa"/>
          </w:tcPr>
          <w:p w14:paraId="22F1CA1A"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Severe</w:t>
            </w:r>
          </w:p>
        </w:tc>
        <w:tc>
          <w:tcPr>
            <w:tcW w:w="1238" w:type="dxa"/>
          </w:tcPr>
          <w:p w14:paraId="30E2FE5E"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Observed</w:t>
            </w:r>
          </w:p>
        </w:tc>
        <w:tc>
          <w:tcPr>
            <w:tcW w:w="2223" w:type="dxa"/>
          </w:tcPr>
          <w:p w14:paraId="0F453B76" w14:textId="77777777" w:rsidR="00B43F16" w:rsidRPr="00492BE0" w:rsidRDefault="6919A12E" w:rsidP="674B62DA">
            <w:pPr>
              <w:pStyle w:val="Tablebodytext"/>
              <w:rPr>
                <w:rFonts w:asciiTheme="minorHAnsi" w:hAnsiTheme="minorHAnsi"/>
              </w:rPr>
            </w:pPr>
            <w:r w:rsidRPr="674B62DA">
              <w:rPr>
                <w:rFonts w:asciiTheme="minorHAnsi" w:hAnsiTheme="minorHAnsi"/>
              </w:rPr>
              <w:t>Action statement 1</w:t>
            </w:r>
          </w:p>
          <w:p w14:paraId="6E06D324" w14:textId="77777777" w:rsidR="00B43F16" w:rsidRPr="00492BE0" w:rsidRDefault="6919A12E" w:rsidP="674B62DA">
            <w:pPr>
              <w:pStyle w:val="Tablebodytext"/>
              <w:rPr>
                <w:rFonts w:asciiTheme="minorHAnsi" w:hAnsiTheme="minorHAnsi"/>
              </w:rPr>
            </w:pPr>
            <w:r w:rsidRPr="674B62DA">
              <w:rPr>
                <w:rFonts w:asciiTheme="minorHAnsi" w:hAnsiTheme="minorHAnsi"/>
              </w:rPr>
              <w:t>Action statement 2</w:t>
            </w:r>
          </w:p>
          <w:p w14:paraId="16DEEB8A" w14:textId="77777777" w:rsidR="00B43F16" w:rsidRPr="00492BE0" w:rsidRDefault="6919A12E" w:rsidP="674B62DA">
            <w:pPr>
              <w:pStyle w:val="Tablebodytext"/>
              <w:rPr>
                <w:rFonts w:asciiTheme="minorHAnsi" w:hAnsiTheme="minorHAnsi"/>
              </w:rPr>
            </w:pPr>
            <w:r w:rsidRPr="674B62DA">
              <w:rPr>
                <w:rFonts w:asciiTheme="minorHAnsi" w:hAnsiTheme="minorHAnsi"/>
              </w:rPr>
              <w:t>Action statement 3</w:t>
            </w:r>
          </w:p>
        </w:tc>
        <w:tc>
          <w:tcPr>
            <w:tcW w:w="1283" w:type="dxa"/>
          </w:tcPr>
          <w:p w14:paraId="00FED07F" w14:textId="77777777" w:rsidR="00B43F16" w:rsidRPr="00492BE0" w:rsidRDefault="6919A12E" w:rsidP="674B62DA">
            <w:pPr>
              <w:pStyle w:val="ListBullet"/>
              <w:numPr>
                <w:ilvl w:val="0"/>
                <w:numId w:val="0"/>
              </w:numPr>
              <w:rPr>
                <w:rFonts w:asciiTheme="minorHAnsi" w:hAnsiTheme="minorHAnsi"/>
              </w:rPr>
            </w:pPr>
            <w:r w:rsidRPr="674B62DA">
              <w:rPr>
                <w:rFonts w:asciiTheme="minorHAnsi" w:hAnsiTheme="minorHAnsi"/>
              </w:rPr>
              <w:t>Avoid</w:t>
            </w:r>
          </w:p>
        </w:tc>
        <w:tc>
          <w:tcPr>
            <w:tcW w:w="1261" w:type="dxa"/>
          </w:tcPr>
          <w:p w14:paraId="4A9156ED"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Immediate</w:t>
            </w:r>
          </w:p>
        </w:tc>
      </w:tr>
      <w:tr w:rsidR="00B43F16" w:rsidRPr="00FA7F41" w14:paraId="4EF6940B" w14:textId="77777777" w:rsidTr="674B62DA">
        <w:trPr>
          <w:cnfStyle w:val="000000100000" w:firstRow="0" w:lastRow="0" w:firstColumn="0" w:lastColumn="0" w:oddVBand="0" w:evenVBand="0" w:oddHBand="1" w:evenHBand="0" w:firstRowFirstColumn="0" w:firstRowLastColumn="0" w:lastRowFirstColumn="0" w:lastRowLastColumn="0"/>
        </w:trPr>
        <w:tc>
          <w:tcPr>
            <w:tcW w:w="1333" w:type="dxa"/>
          </w:tcPr>
          <w:p w14:paraId="2D675519"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&gt;3</w:t>
            </w:r>
          </w:p>
        </w:tc>
        <w:tc>
          <w:tcPr>
            <w:tcW w:w="1304" w:type="dxa"/>
            <w:shd w:val="clear" w:color="auto" w:fill="C00000"/>
          </w:tcPr>
          <w:p w14:paraId="7038787F"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Emergency Warning</w:t>
            </w:r>
          </w:p>
        </w:tc>
        <w:tc>
          <w:tcPr>
            <w:tcW w:w="1127" w:type="dxa"/>
          </w:tcPr>
          <w:p w14:paraId="417386DD"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Extreme</w:t>
            </w:r>
          </w:p>
        </w:tc>
        <w:tc>
          <w:tcPr>
            <w:tcW w:w="1238" w:type="dxa"/>
          </w:tcPr>
          <w:p w14:paraId="0809A754"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Likely</w:t>
            </w:r>
          </w:p>
        </w:tc>
        <w:tc>
          <w:tcPr>
            <w:tcW w:w="2223" w:type="dxa"/>
          </w:tcPr>
          <w:p w14:paraId="7564E93A" w14:textId="77777777" w:rsidR="00B43F16" w:rsidRPr="00492BE0" w:rsidRDefault="6919A12E" w:rsidP="674B62DA">
            <w:pPr>
              <w:pStyle w:val="Tablebodytext"/>
              <w:rPr>
                <w:rFonts w:asciiTheme="minorHAnsi" w:hAnsiTheme="minorHAnsi"/>
              </w:rPr>
            </w:pPr>
            <w:r w:rsidRPr="674B62DA">
              <w:rPr>
                <w:rFonts w:asciiTheme="minorHAnsi" w:hAnsiTheme="minorHAnsi"/>
              </w:rPr>
              <w:t>Action statement 1</w:t>
            </w:r>
          </w:p>
          <w:p w14:paraId="3B543A40" w14:textId="77777777" w:rsidR="00B43F16" w:rsidRPr="00492BE0" w:rsidRDefault="6919A12E" w:rsidP="674B62DA">
            <w:pPr>
              <w:pStyle w:val="Tablebodytext"/>
              <w:rPr>
                <w:rFonts w:asciiTheme="minorHAnsi" w:hAnsiTheme="minorHAnsi"/>
              </w:rPr>
            </w:pPr>
            <w:r w:rsidRPr="674B62DA">
              <w:rPr>
                <w:rFonts w:asciiTheme="minorHAnsi" w:hAnsiTheme="minorHAnsi"/>
              </w:rPr>
              <w:t>Action statement 2</w:t>
            </w:r>
          </w:p>
          <w:p w14:paraId="294B7D8C" w14:textId="77777777" w:rsidR="00B43F16" w:rsidRPr="00492BE0" w:rsidRDefault="6919A12E" w:rsidP="674B62DA">
            <w:pPr>
              <w:pStyle w:val="Tablebodytext"/>
              <w:rPr>
                <w:rFonts w:asciiTheme="minorHAnsi" w:hAnsiTheme="minorHAnsi"/>
              </w:rPr>
            </w:pPr>
            <w:r w:rsidRPr="674B62DA">
              <w:rPr>
                <w:rFonts w:asciiTheme="minorHAnsi" w:hAnsiTheme="minorHAnsi"/>
              </w:rPr>
              <w:t>Action statement 3</w:t>
            </w:r>
          </w:p>
        </w:tc>
        <w:tc>
          <w:tcPr>
            <w:tcW w:w="1283" w:type="dxa"/>
          </w:tcPr>
          <w:p w14:paraId="501C2499" w14:textId="77777777" w:rsidR="00B43F16" w:rsidRPr="00492BE0" w:rsidRDefault="6919A12E" w:rsidP="674B62DA">
            <w:pPr>
              <w:pStyle w:val="ListBullet"/>
              <w:numPr>
                <w:ilvl w:val="0"/>
                <w:numId w:val="0"/>
              </w:numPr>
              <w:rPr>
                <w:rFonts w:asciiTheme="minorHAnsi" w:hAnsiTheme="minorHAnsi"/>
              </w:rPr>
            </w:pPr>
            <w:r w:rsidRPr="674B62DA">
              <w:rPr>
                <w:rFonts w:asciiTheme="minorHAnsi" w:hAnsiTheme="minorHAnsi"/>
              </w:rPr>
              <w:t>Shelter</w:t>
            </w:r>
          </w:p>
        </w:tc>
        <w:tc>
          <w:tcPr>
            <w:tcW w:w="1261" w:type="dxa"/>
          </w:tcPr>
          <w:p w14:paraId="62B4D906"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Expected</w:t>
            </w:r>
          </w:p>
        </w:tc>
      </w:tr>
      <w:tr w:rsidR="00B43F16" w:rsidRPr="00FA7F41" w14:paraId="5F9C638C" w14:textId="77777777" w:rsidTr="674B62DA">
        <w:trPr>
          <w:cnfStyle w:val="000000010000" w:firstRow="0" w:lastRow="0" w:firstColumn="0" w:lastColumn="0" w:oddVBand="0" w:evenVBand="0" w:oddHBand="0" w:evenHBand="1" w:firstRowFirstColumn="0" w:firstRowLastColumn="0" w:lastRowFirstColumn="0" w:lastRowLastColumn="0"/>
        </w:trPr>
        <w:tc>
          <w:tcPr>
            <w:tcW w:w="1333" w:type="dxa"/>
          </w:tcPr>
          <w:p w14:paraId="649A542B"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&gt;3</w:t>
            </w:r>
          </w:p>
        </w:tc>
        <w:tc>
          <w:tcPr>
            <w:tcW w:w="1304" w:type="dxa"/>
            <w:shd w:val="clear" w:color="auto" w:fill="C00000"/>
          </w:tcPr>
          <w:p w14:paraId="0F9BDE39"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Emergency Warning</w:t>
            </w:r>
          </w:p>
        </w:tc>
        <w:tc>
          <w:tcPr>
            <w:tcW w:w="1127" w:type="dxa"/>
          </w:tcPr>
          <w:p w14:paraId="69A8FA0F"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Extreme</w:t>
            </w:r>
          </w:p>
        </w:tc>
        <w:tc>
          <w:tcPr>
            <w:tcW w:w="1238" w:type="dxa"/>
          </w:tcPr>
          <w:p w14:paraId="128E0AFC"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Observed</w:t>
            </w:r>
          </w:p>
        </w:tc>
        <w:tc>
          <w:tcPr>
            <w:tcW w:w="2223" w:type="dxa"/>
          </w:tcPr>
          <w:p w14:paraId="6E4830D9" w14:textId="77777777" w:rsidR="00B43F16" w:rsidRPr="00492BE0" w:rsidRDefault="6919A12E" w:rsidP="674B62DA">
            <w:pPr>
              <w:pStyle w:val="Tablebodytext"/>
              <w:rPr>
                <w:rFonts w:asciiTheme="minorHAnsi" w:hAnsiTheme="minorHAnsi"/>
              </w:rPr>
            </w:pPr>
            <w:r w:rsidRPr="674B62DA">
              <w:rPr>
                <w:rFonts w:asciiTheme="minorHAnsi" w:hAnsiTheme="minorHAnsi"/>
              </w:rPr>
              <w:t>Action statement 1</w:t>
            </w:r>
          </w:p>
          <w:p w14:paraId="6286E3B9" w14:textId="77777777" w:rsidR="00B43F16" w:rsidRPr="00492BE0" w:rsidRDefault="6919A12E" w:rsidP="674B62DA">
            <w:pPr>
              <w:pStyle w:val="Tablebodytext"/>
              <w:rPr>
                <w:rFonts w:asciiTheme="minorHAnsi" w:hAnsiTheme="minorHAnsi"/>
              </w:rPr>
            </w:pPr>
            <w:r w:rsidRPr="674B62DA">
              <w:rPr>
                <w:rFonts w:asciiTheme="minorHAnsi" w:hAnsiTheme="minorHAnsi"/>
              </w:rPr>
              <w:t>Action statement 2</w:t>
            </w:r>
          </w:p>
          <w:p w14:paraId="6BDB29D0" w14:textId="77777777" w:rsidR="00B43F16" w:rsidRPr="00492BE0" w:rsidRDefault="6919A12E" w:rsidP="674B62DA">
            <w:pPr>
              <w:pStyle w:val="Tablebodytext"/>
              <w:rPr>
                <w:rFonts w:asciiTheme="minorHAnsi" w:hAnsiTheme="minorHAnsi"/>
              </w:rPr>
            </w:pPr>
            <w:r w:rsidRPr="674B62DA">
              <w:rPr>
                <w:rFonts w:asciiTheme="minorHAnsi" w:hAnsiTheme="minorHAnsi"/>
              </w:rPr>
              <w:t>Action statement 3</w:t>
            </w:r>
          </w:p>
        </w:tc>
        <w:tc>
          <w:tcPr>
            <w:tcW w:w="1283" w:type="dxa"/>
          </w:tcPr>
          <w:p w14:paraId="51E00932" w14:textId="77777777" w:rsidR="00B43F16" w:rsidRPr="00492BE0" w:rsidRDefault="6919A12E" w:rsidP="674B62DA">
            <w:pPr>
              <w:pStyle w:val="ListBullet"/>
              <w:numPr>
                <w:ilvl w:val="0"/>
                <w:numId w:val="0"/>
              </w:numPr>
              <w:rPr>
                <w:rFonts w:asciiTheme="minorHAnsi" w:hAnsiTheme="minorHAnsi"/>
              </w:rPr>
            </w:pPr>
            <w:r w:rsidRPr="674B62DA">
              <w:rPr>
                <w:rFonts w:asciiTheme="minorHAnsi" w:hAnsiTheme="minorHAnsi"/>
              </w:rPr>
              <w:t>Shelter</w:t>
            </w:r>
          </w:p>
        </w:tc>
        <w:tc>
          <w:tcPr>
            <w:tcW w:w="1261" w:type="dxa"/>
          </w:tcPr>
          <w:p w14:paraId="1ACDAE17"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Immediate</w:t>
            </w:r>
          </w:p>
        </w:tc>
      </w:tr>
      <w:tr w:rsidR="00B43F16" w:rsidRPr="00FA7F41" w14:paraId="0249B290" w14:textId="77777777" w:rsidTr="674B62DA">
        <w:trPr>
          <w:cnfStyle w:val="000000100000" w:firstRow="0" w:lastRow="0" w:firstColumn="0" w:lastColumn="0" w:oddVBand="0" w:evenVBand="0" w:oddHBand="1" w:evenHBand="0" w:firstRowFirstColumn="0" w:firstRowLastColumn="0" w:lastRowFirstColumn="0" w:lastRowLastColumn="0"/>
        </w:trPr>
        <w:tc>
          <w:tcPr>
            <w:tcW w:w="1333" w:type="dxa"/>
          </w:tcPr>
          <w:p w14:paraId="0DA3DEBC" w14:textId="77777777" w:rsidR="00B43F16" w:rsidRPr="00492BE0" w:rsidRDefault="00B43F16" w:rsidP="674B62DA">
            <w:pPr>
              <w:pStyle w:val="Tablebodytext"/>
              <w:rPr>
                <w:rFonts w:asciiTheme="minorHAnsi" w:hAnsiTheme="minorHAnsi"/>
              </w:rPr>
            </w:pPr>
          </w:p>
        </w:tc>
        <w:tc>
          <w:tcPr>
            <w:tcW w:w="1304" w:type="dxa"/>
          </w:tcPr>
          <w:p w14:paraId="62A482D9" w14:textId="77777777" w:rsidR="00B43F16" w:rsidRPr="00492BE0" w:rsidRDefault="00B43F16" w:rsidP="674B62DA">
            <w:pPr>
              <w:pStyle w:val="Tablebodytext"/>
              <w:rPr>
                <w:rFonts w:asciiTheme="minorHAnsi" w:hAnsiTheme="minorHAnsi"/>
              </w:rPr>
            </w:pPr>
          </w:p>
        </w:tc>
        <w:tc>
          <w:tcPr>
            <w:tcW w:w="1127" w:type="dxa"/>
          </w:tcPr>
          <w:p w14:paraId="5C3CB3A5" w14:textId="77777777" w:rsidR="00B43F16" w:rsidRPr="00492BE0" w:rsidRDefault="6919A12E" w:rsidP="674B62DA">
            <w:pPr>
              <w:pStyle w:val="Tablebodytext"/>
              <w:rPr>
                <w:rFonts w:asciiTheme="minorHAnsi" w:hAnsiTheme="minorHAnsi"/>
              </w:rPr>
            </w:pPr>
            <w:r w:rsidRPr="674B62DA">
              <w:rPr>
                <w:rFonts w:asciiTheme="minorHAnsi" w:eastAsia="Calibri" w:hAnsiTheme="minorHAnsi"/>
              </w:rPr>
              <w:t>Minor</w:t>
            </w:r>
          </w:p>
        </w:tc>
        <w:tc>
          <w:tcPr>
            <w:tcW w:w="1238" w:type="dxa"/>
          </w:tcPr>
          <w:p w14:paraId="1FC4A19A" w14:textId="77777777" w:rsidR="00B43F16" w:rsidRPr="00492BE0" w:rsidRDefault="00B43F16" w:rsidP="674B62DA">
            <w:pPr>
              <w:pStyle w:val="Tablebodytext"/>
              <w:rPr>
                <w:rFonts w:asciiTheme="minorHAnsi" w:hAnsiTheme="minorHAnsi"/>
              </w:rPr>
            </w:pPr>
          </w:p>
        </w:tc>
        <w:tc>
          <w:tcPr>
            <w:tcW w:w="2223" w:type="dxa"/>
          </w:tcPr>
          <w:p w14:paraId="5578508F" w14:textId="77777777" w:rsidR="00B43F16" w:rsidRPr="00492BE0" w:rsidRDefault="00B43F16" w:rsidP="674B62DA">
            <w:pPr>
              <w:pStyle w:val="Tablebodytext"/>
              <w:rPr>
                <w:rFonts w:asciiTheme="minorHAnsi" w:hAnsiTheme="minorHAnsi"/>
              </w:rPr>
            </w:pPr>
          </w:p>
        </w:tc>
        <w:tc>
          <w:tcPr>
            <w:tcW w:w="1283" w:type="dxa"/>
          </w:tcPr>
          <w:p w14:paraId="03B75FF6" w14:textId="77777777" w:rsidR="00B43F16" w:rsidRPr="00492BE0" w:rsidRDefault="6919A12E" w:rsidP="674B62DA">
            <w:pPr>
              <w:pStyle w:val="ListBullet"/>
              <w:numPr>
                <w:ilvl w:val="0"/>
                <w:numId w:val="0"/>
              </w:numPr>
              <w:rPr>
                <w:rFonts w:asciiTheme="minorHAnsi" w:hAnsiTheme="minorHAnsi"/>
              </w:rPr>
            </w:pPr>
            <w:r w:rsidRPr="674B62DA">
              <w:rPr>
                <w:rFonts w:asciiTheme="minorHAnsi" w:hAnsiTheme="minorHAnsi"/>
              </w:rPr>
              <w:t>All Clear</w:t>
            </w:r>
          </w:p>
        </w:tc>
        <w:tc>
          <w:tcPr>
            <w:tcW w:w="1261" w:type="dxa"/>
          </w:tcPr>
          <w:p w14:paraId="2CE903F6" w14:textId="77777777" w:rsidR="00B43F16" w:rsidRPr="00492BE0" w:rsidRDefault="6919A12E" w:rsidP="674B62DA">
            <w:pPr>
              <w:pStyle w:val="Tablebodytext"/>
              <w:keepNext/>
              <w:rPr>
                <w:rFonts w:asciiTheme="minorHAnsi" w:hAnsiTheme="minorHAnsi"/>
              </w:rPr>
            </w:pPr>
            <w:r w:rsidRPr="674B62DA">
              <w:rPr>
                <w:rFonts w:asciiTheme="minorHAnsi" w:eastAsia="Calibri" w:hAnsiTheme="minorHAnsi"/>
              </w:rPr>
              <w:t>Past</w:t>
            </w:r>
          </w:p>
        </w:tc>
      </w:tr>
    </w:tbl>
    <w:p w14:paraId="6053E8A5" w14:textId="77777777" w:rsidR="00B43F16" w:rsidRPr="00F81133" w:rsidRDefault="6919A12E" w:rsidP="00B43F16">
      <w:pPr>
        <w:pStyle w:val="Caption"/>
      </w:pPr>
      <w:bookmarkStart w:id="86" w:name="_Ref117173254"/>
      <w:bookmarkStart w:id="87" w:name="_Toc150776941"/>
      <w:r>
        <w:t xml:space="preserve">Table </w:t>
      </w:r>
      <w:r w:rsidR="00B43F16">
        <w:fldChar w:fldCharType="begin"/>
      </w:r>
      <w:r w:rsidR="00B43F16">
        <w:instrText>SEQ Table \* ARABIC</w:instrText>
      </w:r>
      <w:r w:rsidR="00B43F16">
        <w:fldChar w:fldCharType="separate"/>
      </w:r>
      <w:r>
        <w:t>6</w:t>
      </w:r>
      <w:r w:rsidR="00B43F16">
        <w:fldChar w:fldCharType="end"/>
      </w:r>
      <w:bookmarkEnd w:id="86"/>
      <w:r>
        <w:t>: Alignment of CAP element values to AWS and EHF warning thresholds (OASIS 2013)</w:t>
      </w:r>
      <w:bookmarkEnd w:id="87"/>
    </w:p>
    <w:p w14:paraId="23E2278D" w14:textId="77777777" w:rsidR="00B43F16" w:rsidRDefault="00B43F16" w:rsidP="674B62DA">
      <w:pPr>
        <w:spacing w:after="0" w:line="240" w:lineRule="auto"/>
        <w:rPr>
          <w:rFonts w:eastAsiaTheme="majorEastAsia" w:cstheme="majorBidi"/>
          <w:b/>
          <w:bCs/>
          <w:color w:val="000000" w:themeColor="text1"/>
          <w:sz w:val="36"/>
          <w:szCs w:val="36"/>
        </w:rPr>
      </w:pPr>
      <w:bookmarkStart w:id="88" w:name="_Toc106789364"/>
      <w:r>
        <w:br w:type="page"/>
      </w:r>
    </w:p>
    <w:p w14:paraId="3614082B" w14:textId="77777777" w:rsidR="00B43F16" w:rsidRPr="004B59C7" w:rsidRDefault="6919A12E" w:rsidP="0055334E">
      <w:pPr>
        <w:pStyle w:val="Heading1"/>
      </w:pPr>
      <w:bookmarkStart w:id="89" w:name="_Toc119931235"/>
      <w:bookmarkStart w:id="90" w:name="_Toc149899497"/>
      <w:bookmarkStart w:id="91" w:name="_Toc149907553"/>
      <w:r>
        <w:lastRenderedPageBreak/>
        <w:t>References</w:t>
      </w:r>
      <w:bookmarkEnd w:id="88"/>
      <w:bookmarkEnd w:id="89"/>
      <w:bookmarkEnd w:id="90"/>
      <w:bookmarkEnd w:id="91"/>
    </w:p>
    <w:p w14:paraId="398A1916" w14:textId="77777777" w:rsidR="00B43F16" w:rsidRPr="00BD31A0" w:rsidRDefault="6919A12E" w:rsidP="00B43F16">
      <w:r>
        <w:t xml:space="preserve">Australian Climate Service (ACS) (2021) About. </w:t>
      </w:r>
      <w:hyperlink r:id="rId32">
        <w:r w:rsidRPr="674B62DA">
          <w:rPr>
            <w:rStyle w:val="Hyperlink"/>
            <w:rFonts w:eastAsia="SimSun" w:cs="Arial"/>
          </w:rPr>
          <w:t>https://www.acs.gov.au/pages/about</w:t>
        </w:r>
      </w:hyperlink>
      <w:r w:rsidRPr="674B62DA">
        <w:rPr>
          <w:rFonts w:eastAsia="SimSun"/>
          <w:color w:val="000000" w:themeColor="text1"/>
        </w:rPr>
        <w:t xml:space="preserve">  </w:t>
      </w:r>
      <w:r w:rsidRPr="674B62DA">
        <w:rPr>
          <w:rFonts w:eastAsia="Calibri"/>
        </w:rPr>
        <w:t>Accessed 23 December 2021</w:t>
      </w:r>
    </w:p>
    <w:p w14:paraId="01F13511" w14:textId="77777777" w:rsidR="00B43F16" w:rsidRPr="00BD31A0" w:rsidRDefault="6919A12E" w:rsidP="674B62DA">
      <w:pPr>
        <w:rPr>
          <w:rFonts w:eastAsia="Calibri"/>
        </w:rPr>
      </w:pPr>
      <w:r w:rsidRPr="674B62DA">
        <w:rPr>
          <w:rFonts w:eastAsia="Calibri"/>
        </w:rPr>
        <w:t xml:space="preserve">Australian Institute for Disaster Resilience (AIDR) (2021) The Australian Warning System </w:t>
      </w:r>
      <w:hyperlink r:id="rId33">
        <w:r w:rsidRPr="674B62DA">
          <w:rPr>
            <w:rStyle w:val="Hyperlink"/>
            <w:rFonts w:cs="Arial"/>
          </w:rPr>
          <w:t>aidr_australian-warning-system_companion_2021.pdf</w:t>
        </w:r>
      </w:hyperlink>
      <w:r w:rsidRPr="674B62DA">
        <w:rPr>
          <w:rFonts w:eastAsia="Calibri"/>
        </w:rPr>
        <w:t xml:space="preserve"> Accessed 9 February 2021</w:t>
      </w:r>
    </w:p>
    <w:p w14:paraId="1D8D7903" w14:textId="77777777" w:rsidR="00B43F16" w:rsidRPr="00BD31A0" w:rsidRDefault="6919A12E" w:rsidP="674B62DA">
      <w:pPr>
        <w:rPr>
          <w:rFonts w:eastAsia="Calibri"/>
        </w:rPr>
      </w:pPr>
      <w:r w:rsidRPr="674B62DA">
        <w:rPr>
          <w:rFonts w:eastAsia="Calibri"/>
        </w:rPr>
        <w:t xml:space="preserve">Australian Institute for Disaster Resilience </w:t>
      </w:r>
      <w:r>
        <w:t xml:space="preserve">2019. Australian Emergency Management Arrangements. </w:t>
      </w:r>
      <w:hyperlink r:id="rId34">
        <w:r w:rsidRPr="674B62DA">
          <w:rPr>
            <w:rStyle w:val="Hyperlink"/>
            <w:rFonts w:cs="Arial"/>
          </w:rPr>
          <w:t>https://www.aidr.org.au/media/1764/aidr_handbookcollection_australian-emergency-management-arrangement_web_2019-08-22_v11.pdf</w:t>
        </w:r>
      </w:hyperlink>
      <w:r>
        <w:t xml:space="preserve"> </w:t>
      </w:r>
      <w:r w:rsidRPr="674B62DA">
        <w:rPr>
          <w:rFonts w:eastAsia="Calibri"/>
        </w:rPr>
        <w:t>Accessed 9 February 2021</w:t>
      </w:r>
    </w:p>
    <w:p w14:paraId="57682588" w14:textId="77777777" w:rsidR="00B43F16" w:rsidRPr="00BD31A0" w:rsidRDefault="6919A12E" w:rsidP="00B43F16">
      <w:r>
        <w:t xml:space="preserve">Bureau of Meteorology (BoM) (2017) Strategy 2017-2022. </w:t>
      </w:r>
      <w:hyperlink r:id="rId35">
        <w:r w:rsidRPr="674B62DA">
          <w:rPr>
            <w:rStyle w:val="Hyperlink"/>
            <w:rFonts w:cs="Arial"/>
          </w:rPr>
          <w:t>http://www.bom.gov.au/inside/downloads/Bureau-of-Meteorology-Strategy-2017-2022.pdf</w:t>
        </w:r>
      </w:hyperlink>
      <w:r>
        <w:t xml:space="preserve"> </w:t>
      </w:r>
      <w:r w:rsidRPr="674B62DA">
        <w:rPr>
          <w:rFonts w:eastAsia="Calibri"/>
        </w:rPr>
        <w:t>Accessed 23 December 2021</w:t>
      </w:r>
    </w:p>
    <w:p w14:paraId="5174C126" w14:textId="77777777" w:rsidR="00B43F16" w:rsidRPr="00BD31A0" w:rsidRDefault="6919A12E" w:rsidP="00B43F16">
      <w:r>
        <w:t xml:space="preserve">Bureau of Meteorology (BoM) (2019) Strengthening our services for all Australians. </w:t>
      </w:r>
      <w:r w:rsidRPr="674B62DA">
        <w:rPr>
          <w:rStyle w:val="Hyperlink"/>
          <w:rFonts w:eastAsia="Calibri" w:cs="Arial"/>
        </w:rPr>
        <w:t xml:space="preserve"> </w:t>
      </w:r>
      <w:hyperlink r:id="rId36">
        <w:r w:rsidRPr="674B62DA">
          <w:rPr>
            <w:rStyle w:val="Hyperlink"/>
            <w:rFonts w:eastAsia="Calibri" w:cs="Arial"/>
          </w:rPr>
          <w:t>http://www.bom.gov.au/strengthen/</w:t>
        </w:r>
      </w:hyperlink>
      <w:r w:rsidRPr="674B62DA">
        <w:rPr>
          <w:rStyle w:val="Hyperlink"/>
          <w:rFonts w:eastAsia="Calibri" w:cs="Arial"/>
        </w:rPr>
        <w:t xml:space="preserve"> </w:t>
      </w:r>
      <w:r w:rsidRPr="674B62DA">
        <w:rPr>
          <w:rFonts w:eastAsia="Calibri"/>
        </w:rPr>
        <w:t>Accessed 23 December 2021</w:t>
      </w:r>
    </w:p>
    <w:p w14:paraId="0722BA7B" w14:textId="77777777" w:rsidR="00B43F16" w:rsidRPr="00BD31A0" w:rsidRDefault="6919A12E" w:rsidP="674B62DA">
      <w:pPr>
        <w:rPr>
          <w:rStyle w:val="Hyperlink"/>
          <w:rFonts w:eastAsia="Calibri" w:cs="Arial"/>
          <w:lang w:val="en-US"/>
        </w:rPr>
      </w:pPr>
      <w:r>
        <w:t xml:space="preserve">Bureau of Meteorology (BoM) (2020) Research and Development Plan 2020-2030. </w:t>
      </w:r>
      <w:hyperlink r:id="rId37">
        <w:r w:rsidRPr="674B62DA">
          <w:rPr>
            <w:rStyle w:val="Hyperlink"/>
            <w:rFonts w:eastAsia="Calibri" w:cs="Arial"/>
          </w:rPr>
          <w:t xml:space="preserve">http://www.bom.gov.au/inside/Research_and_Development_Plan_2020-2030.pdf </w:t>
        </w:r>
        <w:r w:rsidRPr="674B62DA">
          <w:rPr>
            <w:rFonts w:eastAsia="Calibri"/>
          </w:rPr>
          <w:t>Accessed 23 December 2021</w:t>
        </w:r>
      </w:hyperlink>
    </w:p>
    <w:p w14:paraId="5A58B4D5" w14:textId="77777777" w:rsidR="00B43F16" w:rsidRPr="00BD31A0" w:rsidRDefault="6919A12E" w:rsidP="674B62DA">
      <w:pPr>
        <w:rPr>
          <w:rFonts w:eastAsia="Calibri"/>
          <w:color w:val="0000FF"/>
          <w:lang w:val="en-US"/>
        </w:rPr>
      </w:pPr>
      <w:r>
        <w:t xml:space="preserve">Bureau of Meteorology (BoM) (2022) Preparing for heatwaves. </w:t>
      </w:r>
      <w:hyperlink r:id="rId38">
        <w:r w:rsidRPr="674B62DA">
          <w:rPr>
            <w:rStyle w:val="Hyperlink"/>
            <w:rFonts w:cs="Arial"/>
          </w:rPr>
          <w:t>http://www.bom.gov.au/australia/heatwave/knowledge-centre/preparing.shtml</w:t>
        </w:r>
      </w:hyperlink>
      <w:r>
        <w:t xml:space="preserve"> Accessed 11 February 2022</w:t>
      </w:r>
    </w:p>
    <w:p w14:paraId="181E3968" w14:textId="77777777" w:rsidR="00B43F16" w:rsidRPr="00BD31A0" w:rsidRDefault="6919A12E" w:rsidP="674B62DA">
      <w:pPr>
        <w:rPr>
          <w:rFonts w:eastAsia="Calibri"/>
        </w:rPr>
      </w:pPr>
      <w:r>
        <w:t xml:space="preserve">Bureau of Meteorology &amp; Commonwealth Scientific and Industrial Research Organisation (BoM &amp; CSIRO) (2020) State of the Climate 2020. </w:t>
      </w:r>
      <w:hyperlink r:id="rId39">
        <w:r w:rsidRPr="674B62DA">
          <w:rPr>
            <w:rStyle w:val="Hyperlink"/>
            <w:rFonts w:cs="Arial"/>
          </w:rPr>
          <w:t>http://www.bom.gov.au/state-of-the-climate/documents/State-of-the-Climate-2020.pdf</w:t>
        </w:r>
      </w:hyperlink>
      <w:r>
        <w:t xml:space="preserve">  </w:t>
      </w:r>
      <w:r w:rsidRPr="674B62DA">
        <w:rPr>
          <w:rFonts w:eastAsia="Calibri"/>
        </w:rPr>
        <w:t>Accessed 23 December 2021</w:t>
      </w:r>
    </w:p>
    <w:p w14:paraId="5A8CFF14" w14:textId="77777777" w:rsidR="00B43F16" w:rsidRPr="00BD31A0" w:rsidRDefault="6919A12E" w:rsidP="00B43F16">
      <w:r>
        <w:t xml:space="preserve">Coates, L., Haynes, K., O'Brien, J., McAneney, J. &amp; de Oliveira, F.D. (2014) Exploring 167 years of vulnerability: An examination of extreme heat events in Australia 1844–2010. </w:t>
      </w:r>
      <w:r w:rsidRPr="674B62DA">
        <w:rPr>
          <w:i/>
          <w:iCs/>
        </w:rPr>
        <w:t>Environmental Science &amp; Policy</w:t>
      </w:r>
      <w:r>
        <w:t xml:space="preserve"> 42: October 2014(33-44) </w:t>
      </w:r>
    </w:p>
    <w:p w14:paraId="6E229A39" w14:textId="77777777" w:rsidR="00B43F16" w:rsidRPr="00BD31A0" w:rsidRDefault="00B43F16" w:rsidP="00B43F16">
      <w:r w:rsidRPr="00BD31A0">
        <w:t>Emergency Management Victoria (2014) National Review of Warnings and Information: Final Report. Victorian Government, Melbourne: Cube Group</w:t>
      </w:r>
    </w:p>
    <w:p w14:paraId="4083757E" w14:textId="77777777" w:rsidR="00B43F16" w:rsidRPr="00BD31A0" w:rsidRDefault="6919A12E" w:rsidP="674B62DA">
      <w:pPr>
        <w:rPr>
          <w:rFonts w:eastAsia="Calibri"/>
        </w:rPr>
      </w:pPr>
      <w:r w:rsidRPr="674B62DA">
        <w:rPr>
          <w:rFonts w:eastAsia="Calibri"/>
        </w:rPr>
        <w:t xml:space="preserve">Handmer, </w:t>
      </w:r>
      <w:r>
        <w:t xml:space="preserve">J., Ladds, M. &amp; Magee, L. (2018) Updating the costs of disasters in Australia. </w:t>
      </w:r>
      <w:r w:rsidRPr="674B62DA">
        <w:rPr>
          <w:i/>
          <w:iCs/>
        </w:rPr>
        <w:t>Australian Journal of Emergency Management</w:t>
      </w:r>
      <w:r>
        <w:t xml:space="preserve"> April (40-46)</w:t>
      </w:r>
    </w:p>
    <w:p w14:paraId="0E3F351F" w14:textId="77777777" w:rsidR="00B43F16" w:rsidRPr="00BD31A0" w:rsidRDefault="6919A12E" w:rsidP="674B62DA">
      <w:pPr>
        <w:rPr>
          <w:rFonts w:eastAsia="Calibri"/>
        </w:rPr>
      </w:pPr>
      <w:r w:rsidRPr="674B62DA">
        <w:rPr>
          <w:rFonts w:eastAsia="Calibri"/>
        </w:rPr>
        <w:t xml:space="preserve">Healthline (2016) Why night can be the most dangerous time during heatwaves. </w:t>
      </w:r>
      <w:hyperlink r:id="rId40" w:anchor="Living-in-a-heat-island">
        <w:r w:rsidRPr="674B62DA">
          <w:rPr>
            <w:rStyle w:val="Hyperlink"/>
            <w:rFonts w:eastAsia="Calibri" w:cs="Arial"/>
          </w:rPr>
          <w:t>https://www.healthline.com/health-news/health-dangers-during-heat-waves-can-be-worse-at-night#Living-in-a-heat-island</w:t>
        </w:r>
      </w:hyperlink>
      <w:r w:rsidRPr="674B62DA">
        <w:rPr>
          <w:rFonts w:eastAsia="Calibri"/>
        </w:rPr>
        <w:t xml:space="preserve"> Accessed 23 December 2021</w:t>
      </w:r>
    </w:p>
    <w:p w14:paraId="29E5B1A4" w14:textId="77777777" w:rsidR="00B43F16" w:rsidRPr="00BD31A0" w:rsidRDefault="6919A12E" w:rsidP="00B43F16">
      <w:r w:rsidRPr="674B62DA">
        <w:rPr>
          <w:rFonts w:eastAsia="Calibri"/>
        </w:rPr>
        <w:t xml:space="preserve">Kaltenberger, R., Schaffhauser, A., &amp; Staudinger, M. (2020) "What the weather will do” – results of a survey on impact-oriented and impact-based warnings in European NMHSs. </w:t>
      </w:r>
      <w:r w:rsidRPr="674B62DA">
        <w:rPr>
          <w:rFonts w:eastAsia="Calibri"/>
          <w:i/>
          <w:iCs/>
        </w:rPr>
        <w:t>Advances in Science and Research</w:t>
      </w:r>
      <w:r w:rsidRPr="674B62DA">
        <w:rPr>
          <w:rFonts w:eastAsia="Calibri"/>
        </w:rPr>
        <w:t xml:space="preserve"> 17:29–38</w:t>
      </w:r>
      <w:r>
        <w:t xml:space="preserve">Langlois, N., Herbst, J., Mason, K., Nairn, J. &amp; Byard, R.W. (2013) Using the Excess Heat Factor (EHF) to predict the risk of heat related deaths. </w:t>
      </w:r>
      <w:r w:rsidRPr="674B62DA">
        <w:rPr>
          <w:i/>
          <w:iCs/>
        </w:rPr>
        <w:t>Journal of Forensic and Legal Medicine</w:t>
      </w:r>
      <w:r>
        <w:t xml:space="preserve"> 20(5)408-411 </w:t>
      </w:r>
    </w:p>
    <w:p w14:paraId="6BDCB013" w14:textId="77777777" w:rsidR="00B43F16" w:rsidRPr="00BD31A0" w:rsidRDefault="6919A12E" w:rsidP="674B62DA">
      <w:pPr>
        <w:rPr>
          <w:rFonts w:eastAsia="Calibri"/>
        </w:rPr>
      </w:pPr>
      <w:r w:rsidRPr="674B62DA">
        <w:rPr>
          <w:rFonts w:eastAsia="Calibri"/>
        </w:rPr>
        <w:t>Mileti, D. &amp; Sorenson, J. (1990) Communication of public emergency warnings: A social science perspective and state</w:t>
      </w:r>
      <w:r w:rsidRPr="674B62DA">
        <w:rPr>
          <w:rFonts w:eastAsia="Calibri"/>
        </w:rPr>
        <w:noBreakHyphen/>
        <w:t>of</w:t>
      </w:r>
      <w:r w:rsidRPr="674B62DA">
        <w:rPr>
          <w:rFonts w:eastAsia="Calibri"/>
        </w:rPr>
        <w:noBreakHyphen/>
        <w:t>the</w:t>
      </w:r>
      <w:r w:rsidR="00B43F16" w:rsidRPr="00BD31A0">
        <w:rPr>
          <w:rFonts w:eastAsia="Calibri"/>
          <w:bCs/>
        </w:rPr>
        <w:softHyphen/>
      </w:r>
      <w:r w:rsidRPr="674B62DA">
        <w:rPr>
          <w:rFonts w:eastAsia="Calibri"/>
        </w:rPr>
        <w:t>art</w:t>
      </w:r>
      <w:r w:rsidRPr="674B62DA">
        <w:rPr>
          <w:rFonts w:eastAsia="Calibri"/>
        </w:rPr>
        <w:noBreakHyphen/>
        <w:t>-ART. Federal Emergency Management Agency. doi:10.2172/6137387</w:t>
      </w:r>
    </w:p>
    <w:p w14:paraId="0C5BBE65" w14:textId="77777777" w:rsidR="00B43F16" w:rsidRPr="00BD31A0" w:rsidRDefault="6919A12E" w:rsidP="674B62DA">
      <w:pPr>
        <w:rPr>
          <w:rFonts w:eastAsia="Calibri"/>
        </w:rPr>
      </w:pPr>
      <w:r>
        <w:lastRenderedPageBreak/>
        <w:t xml:space="preserve">Nairn, J. &amp; Fawcett, R. (2013) Defining heatwaves: Heatwaves defined as a heat-impact event servicing all community and business sectors in Australia. CAWCR Technical Report. </w:t>
      </w:r>
      <w:r w:rsidRPr="674B62DA">
        <w:rPr>
          <w:i/>
          <w:iCs/>
        </w:rPr>
        <w:t>The Centre for Australian Weather and Climate Research</w:t>
      </w:r>
      <w:r>
        <w:t xml:space="preserve"> Australian Government </w:t>
      </w:r>
    </w:p>
    <w:p w14:paraId="36A3D4FA" w14:textId="77777777" w:rsidR="00B43F16" w:rsidRPr="00BD31A0" w:rsidRDefault="00B43F16" w:rsidP="00B43F16">
      <w:r w:rsidRPr="00BD31A0">
        <w:t xml:space="preserve">Natural Capital Economics (2018). Heatwaves in Victoria: a vulnerability assessment. </w:t>
      </w:r>
      <w:r w:rsidRPr="00BD31A0">
        <w:rPr>
          <w:i/>
          <w:iCs/>
        </w:rPr>
        <w:t>Department of Environment, Land, Water and Planning, Victoria</w:t>
      </w:r>
    </w:p>
    <w:p w14:paraId="462E3BB5" w14:textId="77777777" w:rsidR="00B43F16" w:rsidRPr="00BD31A0" w:rsidRDefault="6919A12E" w:rsidP="674B62DA">
      <w:pPr>
        <w:rPr>
          <w:rFonts w:eastAsia="Calibri"/>
        </w:rPr>
      </w:pPr>
      <w:r w:rsidRPr="674B62DA">
        <w:rPr>
          <w:rFonts w:eastAsia="Calibri"/>
        </w:rPr>
        <w:t>OASIS (2010) Common Alerting Protocol Version 1.2</w:t>
      </w:r>
      <w:r w:rsidRPr="674B62DA">
        <w:rPr>
          <w:rFonts w:eastAsia="Calibri"/>
          <w:i/>
          <w:iCs/>
        </w:rPr>
        <w:t xml:space="preserve"> </w:t>
      </w:r>
      <w:r w:rsidRPr="674B62DA">
        <w:rPr>
          <w:rFonts w:eastAsia="Calibri"/>
        </w:rPr>
        <w:t>OASIS Standard</w:t>
      </w:r>
      <w:r w:rsidRPr="674B62DA">
        <w:rPr>
          <w:rFonts w:eastAsia="Calibri"/>
          <w:i/>
          <w:iCs/>
        </w:rPr>
        <w:t xml:space="preserve"> </w:t>
      </w:r>
      <w:hyperlink r:id="rId41">
        <w:r w:rsidRPr="674B62DA">
          <w:rPr>
            <w:rStyle w:val="Hyperlink"/>
            <w:rFonts w:eastAsia="Calibri" w:cs="Arial"/>
          </w:rPr>
          <w:t>http://docs.oasis-open.org/emergency/cap/v1.2/CAP-v1.2.pdf</w:t>
        </w:r>
      </w:hyperlink>
      <w:r w:rsidRPr="674B62DA">
        <w:rPr>
          <w:rStyle w:val="Hyperlink"/>
          <w:rFonts w:eastAsia="Calibri" w:cs="Arial"/>
        </w:rPr>
        <w:t xml:space="preserve"> </w:t>
      </w:r>
      <w:r w:rsidRPr="674B62DA">
        <w:rPr>
          <w:rFonts w:eastAsia="Calibri"/>
        </w:rPr>
        <w:t>Accessed 23 December 2021</w:t>
      </w:r>
    </w:p>
    <w:p w14:paraId="76B57421" w14:textId="77777777" w:rsidR="00B43F16" w:rsidRPr="00BD31A0" w:rsidRDefault="6919A12E" w:rsidP="674B62DA">
      <w:pPr>
        <w:rPr>
          <w:rFonts w:eastAsia="Calibri"/>
        </w:rPr>
      </w:pPr>
      <w:r w:rsidRPr="674B62DA">
        <w:rPr>
          <w:rFonts w:eastAsia="Calibri"/>
        </w:rPr>
        <w:t>OASIS (2013) Common Alerting Protocol Australian Profile</w:t>
      </w:r>
      <w:r w:rsidRPr="674B62DA">
        <w:rPr>
          <w:rFonts w:eastAsia="Calibri"/>
          <w:i/>
          <w:iCs/>
        </w:rPr>
        <w:t xml:space="preserve"> </w:t>
      </w:r>
      <w:hyperlink r:id="rId42">
        <w:r w:rsidRPr="674B62DA">
          <w:rPr>
            <w:rStyle w:val="Hyperlink"/>
            <w:rFonts w:eastAsia="Calibri" w:cs="Arial"/>
          </w:rPr>
          <w:t>http://www.Bureau.gov.au/metadata/CAP-AU/About.shtml</w:t>
        </w:r>
      </w:hyperlink>
      <w:r w:rsidRPr="674B62DA">
        <w:rPr>
          <w:rStyle w:val="Hyperlink"/>
          <w:rFonts w:eastAsia="Calibri" w:cs="Arial"/>
        </w:rPr>
        <w:t xml:space="preserve"> </w:t>
      </w:r>
      <w:r w:rsidRPr="674B62DA">
        <w:rPr>
          <w:rFonts w:eastAsia="Calibri"/>
        </w:rPr>
        <w:t>Accessed 23 December 2021</w:t>
      </w:r>
    </w:p>
    <w:p w14:paraId="2A350CFA" w14:textId="77777777" w:rsidR="00B43F16" w:rsidRPr="00BD31A0" w:rsidRDefault="6919A12E" w:rsidP="674B62DA">
      <w:pPr>
        <w:rPr>
          <w:rFonts w:eastAsia="Calibri"/>
        </w:rPr>
      </w:pPr>
      <w:r w:rsidRPr="674B62DA">
        <w:rPr>
          <w:rFonts w:eastAsia="Calibri"/>
        </w:rPr>
        <w:t xml:space="preserve">Physical Environment Analysis Network (PEAN) (2021) Reducing illness and lives lost from heatwaves. Final Report March 2021. </w:t>
      </w:r>
      <w:r w:rsidRPr="674B62DA">
        <w:rPr>
          <w:rFonts w:eastAsia="Calibri"/>
          <w:i/>
          <w:iCs/>
        </w:rPr>
        <w:t>Australian Government Data Integration Partnership for Australia</w:t>
      </w:r>
      <w:r w:rsidRPr="674B62DA">
        <w:rPr>
          <w:rFonts w:eastAsia="Calibri"/>
        </w:rPr>
        <w:t xml:space="preserve"> </w:t>
      </w:r>
      <w:hyperlink r:id="rId43">
        <w:r w:rsidRPr="674B62DA">
          <w:rPr>
            <w:rStyle w:val="Hyperlink"/>
            <w:rFonts w:eastAsia="Calibri" w:cs="Arial"/>
          </w:rPr>
          <w:t>https://www.pean.gov.au/sites/default/files/2021-10/BOM%20%282021%29%20Heatwaves%20report.pdf</w:t>
        </w:r>
      </w:hyperlink>
      <w:r w:rsidRPr="674B62DA">
        <w:rPr>
          <w:rFonts w:eastAsia="Calibri"/>
        </w:rPr>
        <w:t xml:space="preserve"> Accessed 23 December 2021</w:t>
      </w:r>
    </w:p>
    <w:p w14:paraId="503F9761" w14:textId="77777777" w:rsidR="00B43F16" w:rsidRPr="00BD31A0" w:rsidRDefault="6919A12E" w:rsidP="00B43F16">
      <w:pPr>
        <w:rPr>
          <w:lang w:val="en-US"/>
        </w:rPr>
      </w:pPr>
      <w:r>
        <w:t xml:space="preserve">Scalley, B.D., Spicer, T., Jian, L., Xiao, J., Nairn, J., Robertson, A. &amp; Weeramanthri, T. (2015) Responding to heatwave intensity: Excess Heat Factor is a superior predictor of health service utilisation and a trigger for heatwave plans. </w:t>
      </w:r>
      <w:r w:rsidRPr="674B62DA">
        <w:rPr>
          <w:i/>
          <w:iCs/>
        </w:rPr>
        <w:t>Australian New Zealand Journal of Public Health</w:t>
      </w:r>
      <w:r>
        <w:t xml:space="preserve"> 39(6):582-587</w:t>
      </w:r>
    </w:p>
    <w:p w14:paraId="329F45CC" w14:textId="77777777" w:rsidR="00B43F16" w:rsidRPr="00BD31A0" w:rsidRDefault="6919A12E" w:rsidP="674B62DA">
      <w:pPr>
        <w:rPr>
          <w:rFonts w:eastAsia="Calibri"/>
        </w:rPr>
      </w:pPr>
      <w:r w:rsidRPr="674B62DA">
        <w:rPr>
          <w:rFonts w:eastAsia="Calibri"/>
        </w:rPr>
        <w:t xml:space="preserve">Sorenson, J. (2000) Hazard warning systems: Review of 20 years of progress. </w:t>
      </w:r>
      <w:r w:rsidRPr="674B62DA">
        <w:rPr>
          <w:rFonts w:eastAsia="Calibri"/>
          <w:i/>
          <w:iCs/>
        </w:rPr>
        <w:t>Natural Hazards Review</w:t>
      </w:r>
      <w:r w:rsidRPr="674B62DA">
        <w:rPr>
          <w:rFonts w:eastAsia="Calibri"/>
        </w:rPr>
        <w:t xml:space="preserve"> 1(2):119-125</w:t>
      </w:r>
    </w:p>
    <w:p w14:paraId="2345699E" w14:textId="77777777" w:rsidR="00B43F16" w:rsidRPr="00BD31A0" w:rsidRDefault="6919A12E" w:rsidP="00B43F16">
      <w:r>
        <w:t xml:space="preserve">Williams, S., Venugopal, K., Nitschke, M., Nairn, J., Fawcett, R., Beattie, C. &amp; Wynwood, G. (2018) Regional morbidity and mortality during heatwaves in South Australia. </w:t>
      </w:r>
      <w:r w:rsidRPr="674B62DA">
        <w:rPr>
          <w:i/>
          <w:iCs/>
        </w:rPr>
        <w:t>International Journal of Biometeorology</w:t>
      </w:r>
      <w:r>
        <w:t xml:space="preserve"> 62(10):1911-1926</w:t>
      </w:r>
    </w:p>
    <w:p w14:paraId="38F1A951" w14:textId="77777777" w:rsidR="00B43F16" w:rsidRPr="00BD31A0" w:rsidRDefault="6919A12E" w:rsidP="674B62DA">
      <w:pPr>
        <w:rPr>
          <w:rFonts w:eastAsia="Calibri"/>
        </w:rPr>
      </w:pPr>
      <w:r w:rsidRPr="674B62DA">
        <w:rPr>
          <w:rFonts w:eastAsia="Calibri"/>
        </w:rPr>
        <w:t xml:space="preserve">World Meteorological Organisation (WMO) (2015) WMO Guidelines on Multi-Hazard Impact-Based Forecast and Warning Services. </w:t>
      </w:r>
      <w:r w:rsidRPr="674B62DA">
        <w:rPr>
          <w:rFonts w:eastAsia="Calibri"/>
          <w:i/>
          <w:iCs/>
        </w:rPr>
        <w:t>WMO-No. 1150</w:t>
      </w:r>
      <w:r w:rsidRPr="674B62DA">
        <w:rPr>
          <w:rFonts w:eastAsia="Calibri"/>
        </w:rPr>
        <w:t xml:space="preserve"> </w:t>
      </w:r>
      <w:hyperlink r:id="rId44">
        <w:r w:rsidRPr="674B62DA">
          <w:rPr>
            <w:rStyle w:val="Hyperlink"/>
            <w:rFonts w:eastAsia="Calibri" w:cs="Arial"/>
          </w:rPr>
          <w:t>https://library.wmo.int/doc_num.php?explnum_id=7901</w:t>
        </w:r>
      </w:hyperlink>
      <w:r w:rsidRPr="674B62DA">
        <w:rPr>
          <w:rStyle w:val="Hyperlink"/>
          <w:rFonts w:eastAsia="Calibri" w:cs="Arial"/>
        </w:rPr>
        <w:t xml:space="preserve"> </w:t>
      </w:r>
      <w:r w:rsidRPr="674B62DA">
        <w:rPr>
          <w:rFonts w:eastAsia="Calibri"/>
        </w:rPr>
        <w:t>Accessed 23 December 2021</w:t>
      </w:r>
    </w:p>
    <w:p w14:paraId="29F956E1" w14:textId="77777777" w:rsidR="00B43F16" w:rsidRPr="000A4416" w:rsidRDefault="00B43F16" w:rsidP="00B43F16"/>
    <w:p w14:paraId="5D86B008" w14:textId="77777777" w:rsidR="00B43F16" w:rsidRDefault="00B43F16" w:rsidP="674B62DA">
      <w:pPr>
        <w:spacing w:after="0" w:line="240" w:lineRule="auto"/>
        <w:rPr>
          <w:rFonts w:eastAsiaTheme="majorEastAsia" w:cstheme="majorBidi"/>
          <w:b/>
          <w:bCs/>
          <w:color w:val="000000" w:themeColor="text1"/>
          <w:sz w:val="36"/>
          <w:szCs w:val="36"/>
        </w:rPr>
      </w:pPr>
      <w:r>
        <w:br w:type="page"/>
      </w:r>
    </w:p>
    <w:p w14:paraId="131C08E3" w14:textId="77777777" w:rsidR="00B43F16" w:rsidRDefault="6919A12E" w:rsidP="0055334E">
      <w:pPr>
        <w:pStyle w:val="Heading1"/>
      </w:pPr>
      <w:bookmarkStart w:id="92" w:name="_Toc119931236"/>
      <w:bookmarkStart w:id="93" w:name="_Toc149899498"/>
      <w:bookmarkStart w:id="94" w:name="_Toc149907554"/>
      <w:r>
        <w:lastRenderedPageBreak/>
        <w:t>Navigation aids</w:t>
      </w:r>
      <w:bookmarkEnd w:id="92"/>
      <w:bookmarkEnd w:id="93"/>
      <w:bookmarkEnd w:id="94"/>
    </w:p>
    <w:p w14:paraId="358DA81C" w14:textId="77777777" w:rsidR="00B43F16" w:rsidRDefault="6919A12E" w:rsidP="0055334E">
      <w:pPr>
        <w:pStyle w:val="Heading2"/>
      </w:pPr>
      <w:bookmarkStart w:id="95" w:name="_Toc119931237"/>
      <w:bookmarkStart w:id="96" w:name="_Toc149899499"/>
      <w:bookmarkStart w:id="97" w:name="_Toc149907555"/>
      <w:r>
        <w:t>List of figures</w:t>
      </w:r>
      <w:bookmarkEnd w:id="95"/>
      <w:bookmarkEnd w:id="96"/>
      <w:bookmarkEnd w:id="97"/>
    </w:p>
    <w:p w14:paraId="16770421" w14:textId="77777777" w:rsidR="00B43F16" w:rsidRDefault="00B43F16" w:rsidP="674B62DA">
      <w:pPr>
        <w:pStyle w:val="TableofFigures"/>
        <w:tabs>
          <w:tab w:val="right" w:leader="dot" w:pos="9628"/>
        </w:tabs>
        <w:rPr>
          <w:rFonts w:eastAsiaTheme="minorEastAsia"/>
          <w:noProof/>
          <w:lang w:eastAsia="en-AU"/>
        </w:rPr>
      </w:pPr>
      <w:r>
        <w:fldChar w:fldCharType="begin"/>
      </w:r>
      <w:r>
        <w:instrText xml:space="preserve"> TOC \h \z \c "Figure" </w:instrText>
      </w:r>
      <w:r>
        <w:fldChar w:fldCharType="separate"/>
      </w:r>
      <w:hyperlink w:anchor="_Toc119931281" w:history="1">
        <w:r w:rsidR="6919A12E" w:rsidRPr="674B62DA">
          <w:rPr>
            <w:rStyle w:val="Hyperlink"/>
            <w:noProof/>
          </w:rPr>
          <w:t>Figure 1: Number of days each year where the Australian area-averaged daily mean temperature is extreme. Extreme days are those above the 99th percentile of each month from the years 1910–2019 (BoM and CSIRO, 2020, p4).</w:t>
        </w:r>
        <w:r>
          <w:rPr>
            <w:noProof/>
            <w:webHidden/>
          </w:rPr>
          <w:tab/>
        </w:r>
        <w:r>
          <w:rPr>
            <w:noProof/>
            <w:webHidden/>
          </w:rPr>
          <w:fldChar w:fldCharType="begin"/>
        </w:r>
        <w:r>
          <w:rPr>
            <w:noProof/>
            <w:webHidden/>
          </w:rPr>
          <w:instrText xml:space="preserve"> PAGEREF _Toc119931281 \h </w:instrText>
        </w:r>
        <w:r>
          <w:rPr>
            <w:noProof/>
            <w:webHidden/>
          </w:rPr>
        </w:r>
        <w:r>
          <w:rPr>
            <w:noProof/>
            <w:webHidden/>
          </w:rPr>
          <w:fldChar w:fldCharType="separate"/>
        </w:r>
        <w:r w:rsidR="6919A12E" w:rsidRPr="674B62DA">
          <w:rPr>
            <w:noProof/>
            <w:webHidden/>
          </w:rPr>
          <w:t>7</w:t>
        </w:r>
        <w:r>
          <w:rPr>
            <w:noProof/>
            <w:webHidden/>
          </w:rPr>
          <w:fldChar w:fldCharType="end"/>
        </w:r>
      </w:hyperlink>
    </w:p>
    <w:p w14:paraId="6EE6242D" w14:textId="77777777" w:rsidR="00B43F16" w:rsidRDefault="6919A12E" w:rsidP="674B62DA">
      <w:pPr>
        <w:pStyle w:val="TableofFigures"/>
        <w:tabs>
          <w:tab w:val="right" w:leader="dot" w:pos="9628"/>
        </w:tabs>
        <w:rPr>
          <w:rFonts w:eastAsiaTheme="minorEastAsia"/>
          <w:noProof/>
          <w:lang w:eastAsia="en-AU"/>
        </w:rPr>
      </w:pPr>
      <w:hyperlink w:anchor="_Toc119931282" w:history="1">
        <w:r w:rsidRPr="674B62DA">
          <w:rPr>
            <w:rStyle w:val="Hyperlink"/>
            <w:noProof/>
          </w:rPr>
          <w:t>Figure 2: Interaction between the Bureau of Meteorology and State and Territory Warnings</w:t>
        </w:r>
        <w:r w:rsidR="00B43F16">
          <w:rPr>
            <w:noProof/>
            <w:webHidden/>
          </w:rPr>
          <w:tab/>
        </w:r>
        <w:r w:rsidR="00B43F16">
          <w:rPr>
            <w:noProof/>
            <w:webHidden/>
          </w:rPr>
          <w:fldChar w:fldCharType="begin"/>
        </w:r>
        <w:r w:rsidR="00B43F16">
          <w:rPr>
            <w:noProof/>
            <w:webHidden/>
          </w:rPr>
          <w:instrText xml:space="preserve"> PAGEREF _Toc119931282 \h </w:instrText>
        </w:r>
        <w:r w:rsidR="00B43F16">
          <w:rPr>
            <w:noProof/>
            <w:webHidden/>
          </w:rPr>
        </w:r>
        <w:r w:rsidR="00B43F16">
          <w:rPr>
            <w:noProof/>
            <w:webHidden/>
          </w:rPr>
          <w:fldChar w:fldCharType="separate"/>
        </w:r>
        <w:r w:rsidRPr="674B62DA">
          <w:rPr>
            <w:noProof/>
            <w:webHidden/>
          </w:rPr>
          <w:t>9</w:t>
        </w:r>
        <w:r w:rsidR="00B43F16">
          <w:rPr>
            <w:noProof/>
            <w:webHidden/>
          </w:rPr>
          <w:fldChar w:fldCharType="end"/>
        </w:r>
      </w:hyperlink>
    </w:p>
    <w:p w14:paraId="0E06C969" w14:textId="77777777" w:rsidR="00B43F16" w:rsidRDefault="00B43F16" w:rsidP="0055334E">
      <w:pPr>
        <w:pStyle w:val="Heading2"/>
      </w:pPr>
      <w:r>
        <w:fldChar w:fldCharType="end"/>
      </w:r>
      <w:bookmarkStart w:id="98" w:name="_Toc119931238"/>
      <w:bookmarkStart w:id="99" w:name="_Toc149899500"/>
      <w:bookmarkStart w:id="100" w:name="_Toc149907556"/>
      <w:r w:rsidR="6919A12E">
        <w:t>List of tables</w:t>
      </w:r>
      <w:bookmarkEnd w:id="98"/>
      <w:bookmarkEnd w:id="99"/>
      <w:bookmarkEnd w:id="100"/>
    </w:p>
    <w:p w14:paraId="36790762" w14:textId="794FEFCC" w:rsidR="006651DE" w:rsidRDefault="00B43F16" w:rsidP="674B62DA">
      <w:pPr>
        <w:pStyle w:val="TableofFigures"/>
        <w:tabs>
          <w:tab w:val="right" w:leader="dot" w:pos="9628"/>
        </w:tabs>
        <w:rPr>
          <w:rFonts w:eastAsiaTheme="minorEastAsia"/>
          <w:noProof/>
          <w:kern w:val="2"/>
          <w:lang w:eastAsia="en-AU"/>
          <w14:ligatures w14:val="standardContextual"/>
        </w:rPr>
      </w:pPr>
      <w:r>
        <w:fldChar w:fldCharType="begin"/>
      </w:r>
      <w:r>
        <w:instrText xml:space="preserve"> TOC \h \z \c "Table" </w:instrText>
      </w:r>
      <w:r>
        <w:fldChar w:fldCharType="separate"/>
      </w:r>
      <w:hyperlink w:anchor="_Toc150776936" w:history="1">
        <w:r w:rsidR="0AA929AD" w:rsidRPr="674B62DA">
          <w:rPr>
            <w:rStyle w:val="Hyperlink"/>
            <w:noProof/>
          </w:rPr>
          <w:t>Table 1: AWS Heatwave Application - Early advice of a severe or extreme heatwave expected to occur later in the week</w:t>
        </w:r>
        <w:r w:rsidR="006651DE">
          <w:rPr>
            <w:noProof/>
            <w:webHidden/>
          </w:rPr>
          <w:tab/>
        </w:r>
        <w:r w:rsidR="006651DE">
          <w:rPr>
            <w:noProof/>
            <w:webHidden/>
          </w:rPr>
          <w:fldChar w:fldCharType="begin"/>
        </w:r>
        <w:r w:rsidR="006651DE">
          <w:rPr>
            <w:noProof/>
            <w:webHidden/>
          </w:rPr>
          <w:instrText xml:space="preserve"> PAGEREF _Toc150776936 \h </w:instrText>
        </w:r>
        <w:r w:rsidR="006651DE">
          <w:rPr>
            <w:noProof/>
            <w:webHidden/>
          </w:rPr>
        </w:r>
        <w:r w:rsidR="006651DE">
          <w:rPr>
            <w:noProof/>
            <w:webHidden/>
          </w:rPr>
          <w:fldChar w:fldCharType="separate"/>
        </w:r>
        <w:r w:rsidR="0AA929AD" w:rsidRPr="674B62DA">
          <w:rPr>
            <w:noProof/>
            <w:webHidden/>
          </w:rPr>
          <w:t>16</w:t>
        </w:r>
        <w:r w:rsidR="006651DE">
          <w:rPr>
            <w:noProof/>
            <w:webHidden/>
          </w:rPr>
          <w:fldChar w:fldCharType="end"/>
        </w:r>
      </w:hyperlink>
    </w:p>
    <w:p w14:paraId="5C1D0C92" w14:textId="0DC338C8" w:rsidR="006651DE" w:rsidRDefault="0AA929AD" w:rsidP="674B62DA">
      <w:pPr>
        <w:pStyle w:val="TableofFigures"/>
        <w:tabs>
          <w:tab w:val="right" w:leader="dot" w:pos="9628"/>
        </w:tabs>
        <w:rPr>
          <w:rFonts w:eastAsiaTheme="minorEastAsia"/>
          <w:noProof/>
          <w:kern w:val="2"/>
          <w:lang w:eastAsia="en-AU"/>
          <w14:ligatures w14:val="standardContextual"/>
        </w:rPr>
      </w:pPr>
      <w:hyperlink w:anchor="_Toc150776937" w:history="1">
        <w:r w:rsidRPr="674B62DA">
          <w:rPr>
            <w:rStyle w:val="Hyperlink"/>
            <w:noProof/>
          </w:rPr>
          <w:t>Table 2: AWS Heatwave Application - Severe heatwave is imminent or occurring now</w:t>
        </w:r>
        <w:r w:rsidR="006651DE">
          <w:rPr>
            <w:noProof/>
            <w:webHidden/>
          </w:rPr>
          <w:tab/>
        </w:r>
        <w:r w:rsidR="006651DE">
          <w:rPr>
            <w:noProof/>
            <w:webHidden/>
          </w:rPr>
          <w:fldChar w:fldCharType="begin"/>
        </w:r>
        <w:r w:rsidR="006651DE">
          <w:rPr>
            <w:noProof/>
            <w:webHidden/>
          </w:rPr>
          <w:instrText xml:space="preserve"> PAGEREF _Toc150776937 \h </w:instrText>
        </w:r>
        <w:r w:rsidR="006651DE">
          <w:rPr>
            <w:noProof/>
            <w:webHidden/>
          </w:rPr>
        </w:r>
        <w:r w:rsidR="006651DE">
          <w:rPr>
            <w:noProof/>
            <w:webHidden/>
          </w:rPr>
          <w:fldChar w:fldCharType="separate"/>
        </w:r>
        <w:r w:rsidRPr="674B62DA">
          <w:rPr>
            <w:noProof/>
            <w:webHidden/>
          </w:rPr>
          <w:t>17</w:t>
        </w:r>
        <w:r w:rsidR="006651DE">
          <w:rPr>
            <w:noProof/>
            <w:webHidden/>
          </w:rPr>
          <w:fldChar w:fldCharType="end"/>
        </w:r>
      </w:hyperlink>
    </w:p>
    <w:p w14:paraId="6178324D" w14:textId="24F2AAA7" w:rsidR="006651DE" w:rsidRDefault="0AA929AD" w:rsidP="674B62DA">
      <w:pPr>
        <w:pStyle w:val="TableofFigures"/>
        <w:tabs>
          <w:tab w:val="right" w:leader="dot" w:pos="9628"/>
        </w:tabs>
        <w:rPr>
          <w:rFonts w:eastAsiaTheme="minorEastAsia"/>
          <w:noProof/>
          <w:kern w:val="2"/>
          <w:lang w:eastAsia="en-AU"/>
          <w14:ligatures w14:val="standardContextual"/>
        </w:rPr>
      </w:pPr>
      <w:hyperlink w:anchor="_Toc150776938" w:history="1">
        <w:r w:rsidRPr="674B62DA">
          <w:rPr>
            <w:rStyle w:val="Hyperlink"/>
            <w:noProof/>
          </w:rPr>
          <w:t>Table 3: AWS Heatwave Application - Extreme heatwave is imminent or occurring now</w:t>
        </w:r>
        <w:r w:rsidR="006651DE">
          <w:rPr>
            <w:noProof/>
            <w:webHidden/>
          </w:rPr>
          <w:tab/>
        </w:r>
        <w:r w:rsidR="006651DE">
          <w:rPr>
            <w:noProof/>
            <w:webHidden/>
          </w:rPr>
          <w:fldChar w:fldCharType="begin"/>
        </w:r>
        <w:r w:rsidR="006651DE">
          <w:rPr>
            <w:noProof/>
            <w:webHidden/>
          </w:rPr>
          <w:instrText xml:space="preserve"> PAGEREF _Toc150776938 \h </w:instrText>
        </w:r>
        <w:r w:rsidR="006651DE">
          <w:rPr>
            <w:noProof/>
            <w:webHidden/>
          </w:rPr>
        </w:r>
        <w:r w:rsidR="006651DE">
          <w:rPr>
            <w:noProof/>
            <w:webHidden/>
          </w:rPr>
          <w:fldChar w:fldCharType="separate"/>
        </w:r>
        <w:r w:rsidRPr="674B62DA">
          <w:rPr>
            <w:noProof/>
            <w:webHidden/>
          </w:rPr>
          <w:t>18</w:t>
        </w:r>
        <w:r w:rsidR="006651DE">
          <w:rPr>
            <w:noProof/>
            <w:webHidden/>
          </w:rPr>
          <w:fldChar w:fldCharType="end"/>
        </w:r>
      </w:hyperlink>
    </w:p>
    <w:p w14:paraId="5B2E9813" w14:textId="26324697" w:rsidR="006651DE" w:rsidRDefault="0AA929AD" w:rsidP="674B62DA">
      <w:pPr>
        <w:pStyle w:val="TableofFigures"/>
        <w:tabs>
          <w:tab w:val="right" w:leader="dot" w:pos="9628"/>
        </w:tabs>
        <w:rPr>
          <w:rFonts w:eastAsiaTheme="minorEastAsia"/>
          <w:noProof/>
          <w:kern w:val="2"/>
          <w:lang w:eastAsia="en-AU"/>
          <w14:ligatures w14:val="standardContextual"/>
        </w:rPr>
      </w:pPr>
      <w:hyperlink w:anchor="_Toc150776939" w:history="1">
        <w:r w:rsidRPr="674B62DA">
          <w:rPr>
            <w:rStyle w:val="Hyperlink"/>
            <w:noProof/>
          </w:rPr>
          <w:t>Table 4: AWS Heatwave Application – de-escalation of heatwave warning</w:t>
        </w:r>
        <w:r w:rsidR="006651DE">
          <w:rPr>
            <w:noProof/>
            <w:webHidden/>
          </w:rPr>
          <w:tab/>
        </w:r>
        <w:r w:rsidR="006651DE">
          <w:rPr>
            <w:noProof/>
            <w:webHidden/>
          </w:rPr>
          <w:fldChar w:fldCharType="begin"/>
        </w:r>
        <w:r w:rsidR="006651DE">
          <w:rPr>
            <w:noProof/>
            <w:webHidden/>
          </w:rPr>
          <w:instrText xml:space="preserve"> PAGEREF _Toc150776939 \h </w:instrText>
        </w:r>
        <w:r w:rsidR="006651DE">
          <w:rPr>
            <w:noProof/>
            <w:webHidden/>
          </w:rPr>
        </w:r>
        <w:r w:rsidR="006651DE">
          <w:rPr>
            <w:noProof/>
            <w:webHidden/>
          </w:rPr>
          <w:fldChar w:fldCharType="separate"/>
        </w:r>
        <w:r w:rsidRPr="674B62DA">
          <w:rPr>
            <w:noProof/>
            <w:webHidden/>
          </w:rPr>
          <w:t>19</w:t>
        </w:r>
        <w:r w:rsidR="006651DE">
          <w:rPr>
            <w:noProof/>
            <w:webHidden/>
          </w:rPr>
          <w:fldChar w:fldCharType="end"/>
        </w:r>
      </w:hyperlink>
    </w:p>
    <w:p w14:paraId="258D0485" w14:textId="5041ABEE" w:rsidR="006651DE" w:rsidRDefault="0AA929AD" w:rsidP="674B62DA">
      <w:pPr>
        <w:pStyle w:val="TableofFigures"/>
        <w:tabs>
          <w:tab w:val="right" w:leader="dot" w:pos="9628"/>
        </w:tabs>
        <w:rPr>
          <w:rFonts w:eastAsiaTheme="minorEastAsia"/>
          <w:noProof/>
          <w:kern w:val="2"/>
          <w:lang w:eastAsia="en-AU"/>
          <w14:ligatures w14:val="standardContextual"/>
        </w:rPr>
      </w:pPr>
      <w:hyperlink w:anchor="_Toc150776940" w:history="1">
        <w:r w:rsidRPr="674B62DA">
          <w:rPr>
            <w:rStyle w:val="Hyperlink"/>
            <w:noProof/>
          </w:rPr>
          <w:t>Table 5: Total Warning System: Heatwave Application</w:t>
        </w:r>
        <w:r w:rsidR="006651DE">
          <w:rPr>
            <w:noProof/>
            <w:webHidden/>
          </w:rPr>
          <w:tab/>
        </w:r>
        <w:r w:rsidR="006651DE">
          <w:rPr>
            <w:noProof/>
            <w:webHidden/>
          </w:rPr>
          <w:fldChar w:fldCharType="begin"/>
        </w:r>
        <w:r w:rsidR="006651DE">
          <w:rPr>
            <w:noProof/>
            <w:webHidden/>
          </w:rPr>
          <w:instrText xml:space="preserve"> PAGEREF _Toc150776940 \h </w:instrText>
        </w:r>
        <w:r w:rsidR="006651DE">
          <w:rPr>
            <w:noProof/>
            <w:webHidden/>
          </w:rPr>
        </w:r>
        <w:r w:rsidR="006651DE">
          <w:rPr>
            <w:noProof/>
            <w:webHidden/>
          </w:rPr>
          <w:fldChar w:fldCharType="separate"/>
        </w:r>
        <w:r w:rsidRPr="674B62DA">
          <w:rPr>
            <w:noProof/>
            <w:webHidden/>
          </w:rPr>
          <w:t>25</w:t>
        </w:r>
        <w:r w:rsidR="006651DE">
          <w:rPr>
            <w:noProof/>
            <w:webHidden/>
          </w:rPr>
          <w:fldChar w:fldCharType="end"/>
        </w:r>
      </w:hyperlink>
    </w:p>
    <w:p w14:paraId="2DF32035" w14:textId="2BE9564C" w:rsidR="006651DE" w:rsidRDefault="0AA929AD" w:rsidP="674B62DA">
      <w:pPr>
        <w:pStyle w:val="TableofFigures"/>
        <w:tabs>
          <w:tab w:val="right" w:leader="dot" w:pos="9628"/>
        </w:tabs>
        <w:rPr>
          <w:rFonts w:eastAsiaTheme="minorEastAsia"/>
          <w:noProof/>
          <w:kern w:val="2"/>
          <w:lang w:eastAsia="en-AU"/>
          <w14:ligatures w14:val="standardContextual"/>
        </w:rPr>
      </w:pPr>
      <w:hyperlink w:anchor="_Toc150776941" w:history="1">
        <w:r w:rsidRPr="674B62DA">
          <w:rPr>
            <w:rStyle w:val="Hyperlink"/>
            <w:noProof/>
          </w:rPr>
          <w:t>Table 6: Alignment of CAP element values to AWS and EHF warning thresholds (OASIS 2013)</w:t>
        </w:r>
        <w:r w:rsidR="006651DE">
          <w:rPr>
            <w:noProof/>
            <w:webHidden/>
          </w:rPr>
          <w:tab/>
        </w:r>
        <w:r w:rsidR="006651DE">
          <w:rPr>
            <w:noProof/>
            <w:webHidden/>
          </w:rPr>
          <w:fldChar w:fldCharType="begin"/>
        </w:r>
        <w:r w:rsidR="006651DE">
          <w:rPr>
            <w:noProof/>
            <w:webHidden/>
          </w:rPr>
          <w:instrText xml:space="preserve"> PAGEREF _Toc150776941 \h </w:instrText>
        </w:r>
        <w:r w:rsidR="006651DE">
          <w:rPr>
            <w:noProof/>
            <w:webHidden/>
          </w:rPr>
        </w:r>
        <w:r w:rsidR="006651DE">
          <w:rPr>
            <w:noProof/>
            <w:webHidden/>
          </w:rPr>
          <w:fldChar w:fldCharType="separate"/>
        </w:r>
        <w:r w:rsidRPr="674B62DA">
          <w:rPr>
            <w:noProof/>
            <w:webHidden/>
          </w:rPr>
          <w:t>31</w:t>
        </w:r>
        <w:r w:rsidR="006651DE">
          <w:rPr>
            <w:noProof/>
            <w:webHidden/>
          </w:rPr>
          <w:fldChar w:fldCharType="end"/>
        </w:r>
      </w:hyperlink>
    </w:p>
    <w:p w14:paraId="5830492C" w14:textId="6BAA5B22" w:rsidR="00FA7F41" w:rsidRDefault="00B43F16" w:rsidP="00B43F16">
      <w:r>
        <w:fldChar w:fldCharType="end"/>
      </w:r>
    </w:p>
    <w:sectPr w:rsidR="00FA7F41" w:rsidSect="00A41BD0">
      <w:pgSz w:w="11906" w:h="16838"/>
      <w:pgMar w:top="1666" w:right="1134" w:bottom="1418" w:left="1134" w:header="709"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67FF8" w14:textId="77777777" w:rsidR="00D46E30" w:rsidRDefault="00D46E30" w:rsidP="001B6BFE">
      <w:pPr>
        <w:spacing w:after="0" w:line="240" w:lineRule="auto"/>
      </w:pPr>
      <w:r>
        <w:separator/>
      </w:r>
    </w:p>
    <w:p w14:paraId="6AA81EFD" w14:textId="77777777" w:rsidR="00D46E30" w:rsidRDefault="00D46E30"/>
  </w:endnote>
  <w:endnote w:type="continuationSeparator" w:id="0">
    <w:p w14:paraId="46C2B91E" w14:textId="77777777" w:rsidR="00D46E30" w:rsidRDefault="00D46E30" w:rsidP="001B6BFE">
      <w:pPr>
        <w:spacing w:after="0" w:line="240" w:lineRule="auto"/>
      </w:pPr>
      <w:r>
        <w:continuationSeparator/>
      </w:r>
    </w:p>
    <w:p w14:paraId="374480C7" w14:textId="77777777" w:rsidR="00D46E30" w:rsidRDefault="00D46E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ORK SANS MEDIUM ROMAN">
    <w:altName w:val="Calibri"/>
    <w:charset w:val="4D"/>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4AD9B" w14:textId="77777777" w:rsidR="007A76BC" w:rsidRDefault="007A76BC" w:rsidP="00B33A1C">
    <w:pPr>
      <w:pStyle w:val="Footer"/>
      <w:framePr w:wrap="none" w:vAnchor="text" w:hAnchor="margin" w:xAlign="right" w:y="1"/>
      <w:rPr>
        <w:rStyle w:val="PageNumber"/>
      </w:rPr>
    </w:pPr>
    <w:r w:rsidRPr="674B62DA">
      <w:rPr>
        <w:rStyle w:val="PageNumber"/>
      </w:rPr>
      <w:fldChar w:fldCharType="begin"/>
    </w:r>
    <w:r w:rsidRPr="674B62DA">
      <w:rPr>
        <w:rStyle w:val="PageNumber"/>
      </w:rPr>
      <w:instrText xml:space="preserve"> PAGE </w:instrText>
    </w:r>
    <w:r w:rsidRPr="674B62DA">
      <w:rPr>
        <w:rStyle w:val="PageNumber"/>
      </w:rPr>
      <w:fldChar w:fldCharType="separate"/>
    </w:r>
    <w:r w:rsidR="674B62DA" w:rsidRPr="674B62DA">
      <w:rPr>
        <w:rStyle w:val="PageNumber"/>
      </w:rPr>
      <w:t>3</w:t>
    </w:r>
    <w:r w:rsidRPr="674B62DA">
      <w:rPr>
        <w:rStyle w:val="PageNumber"/>
      </w:rPr>
      <w:fldChar w:fldCharType="end"/>
    </w:r>
  </w:p>
  <w:p w14:paraId="51B50A4B"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0B52D" w14:textId="3A21A241" w:rsidR="001B6BFE" w:rsidRPr="0080058B" w:rsidRDefault="001B6BFE" w:rsidP="0080058B">
    <w:pPr>
      <w:pStyle w:val="SecurityClassification"/>
      <w:rPr>
        <w:color w:val="C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FE7C" w14:textId="2FFE5DCA" w:rsidR="001B6BFE" w:rsidRPr="0080058B" w:rsidRDefault="001B6BFE" w:rsidP="0080058B">
    <w:pPr>
      <w:pStyle w:val="SecurityClassification"/>
      <w:rPr>
        <w:color w:val="C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765AF" w14:textId="77777777" w:rsidR="008431C7" w:rsidRDefault="008431C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93863505"/>
      <w:docPartObj>
        <w:docPartGallery w:val="Page Numbers (Bottom of Page)"/>
        <w:docPartUnique/>
      </w:docPartObj>
    </w:sdtPr>
    <w:sdtEndPr>
      <w:rPr>
        <w:rStyle w:val="PageNumber"/>
      </w:rPr>
    </w:sdtEndPr>
    <w:sdtContent>
      <w:p w14:paraId="03B0B55F" w14:textId="77777777" w:rsidR="007A76BC" w:rsidRDefault="007A76BC" w:rsidP="00B33A1C">
        <w:pPr>
          <w:pStyle w:val="Footer"/>
          <w:framePr w:wrap="none" w:vAnchor="text" w:hAnchor="margin" w:xAlign="right" w:y="1"/>
          <w:rPr>
            <w:rStyle w:val="PageNumber"/>
          </w:rPr>
        </w:pPr>
        <w:r w:rsidRPr="674B62DA">
          <w:rPr>
            <w:rStyle w:val="PageNumber"/>
          </w:rPr>
          <w:fldChar w:fldCharType="begin"/>
        </w:r>
        <w:r w:rsidRPr="674B62DA">
          <w:rPr>
            <w:rStyle w:val="PageNumber"/>
          </w:rPr>
          <w:instrText xml:space="preserve"> PAGE </w:instrText>
        </w:r>
        <w:r w:rsidRPr="674B62DA">
          <w:rPr>
            <w:rStyle w:val="PageNumber"/>
          </w:rPr>
          <w:fldChar w:fldCharType="separate"/>
        </w:r>
        <w:r w:rsidR="674B62DA" w:rsidRPr="674B62DA">
          <w:rPr>
            <w:rStyle w:val="PageNumber"/>
          </w:rPr>
          <w:t>5</w:t>
        </w:r>
        <w:r w:rsidRPr="674B62DA">
          <w:rPr>
            <w:rStyle w:val="PageNumber"/>
          </w:rPr>
          <w:fldChar w:fldCharType="end"/>
        </w:r>
      </w:p>
    </w:sdtContent>
  </w:sdt>
  <w:p w14:paraId="5AE89F2A" w14:textId="6FA03B33" w:rsidR="007A76BC" w:rsidRPr="0080058B" w:rsidRDefault="007A76BC" w:rsidP="00982F38">
    <w:pPr>
      <w:pStyle w:val="SecurityClassification"/>
      <w:ind w:left="0" w:firstLine="0"/>
      <w:jc w:val="left"/>
      <w:rPr>
        <w:color w:val="C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EFED" w14:textId="77777777" w:rsidR="007A76BC" w:rsidRDefault="007A76BC" w:rsidP="00B33A1C">
    <w:pPr>
      <w:pStyle w:val="Footer"/>
      <w:framePr w:wrap="none" w:vAnchor="text" w:hAnchor="margin" w:xAlign="right" w:y="1"/>
      <w:rPr>
        <w:rStyle w:val="PageNumber"/>
      </w:rPr>
    </w:pPr>
    <w:r w:rsidRPr="674B62DA">
      <w:rPr>
        <w:rStyle w:val="PageNumber"/>
      </w:rPr>
      <w:fldChar w:fldCharType="begin"/>
    </w:r>
    <w:r w:rsidRPr="674B62DA">
      <w:rPr>
        <w:rStyle w:val="PageNumber"/>
      </w:rPr>
      <w:instrText xml:space="preserve"> PAGE </w:instrText>
    </w:r>
    <w:r w:rsidRPr="674B62DA">
      <w:rPr>
        <w:rStyle w:val="PageNumber"/>
      </w:rPr>
      <w:fldChar w:fldCharType="separate"/>
    </w:r>
    <w:r w:rsidR="674B62DA" w:rsidRPr="674B62DA">
      <w:rPr>
        <w:rStyle w:val="PageNumber"/>
      </w:rPr>
      <w:t>4</w:t>
    </w:r>
    <w:r w:rsidRPr="674B62DA">
      <w:rPr>
        <w:rStyle w:val="PageNumber"/>
      </w:rPr>
      <w:fldChar w:fldCharType="end"/>
    </w:r>
  </w:p>
  <w:p w14:paraId="05918C10" w14:textId="005F8AA5" w:rsidR="007A76BC" w:rsidRPr="0080058B" w:rsidRDefault="007A76BC" w:rsidP="00982F38">
    <w:pPr>
      <w:pStyle w:val="SecurityClassification"/>
      <w:ind w:left="0" w:firstLine="0"/>
      <w:jc w:val="left"/>
      <w:rPr>
        <w:color w:val="C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87AA6" w14:textId="77777777" w:rsidR="00D46E30" w:rsidRDefault="00D46E30" w:rsidP="001B6BFE">
      <w:pPr>
        <w:spacing w:after="0" w:line="240" w:lineRule="auto"/>
      </w:pPr>
      <w:r>
        <w:separator/>
      </w:r>
    </w:p>
    <w:p w14:paraId="73B629AA" w14:textId="77777777" w:rsidR="00D46E30" w:rsidRDefault="00D46E30"/>
  </w:footnote>
  <w:footnote w:type="continuationSeparator" w:id="0">
    <w:p w14:paraId="17B83FCB" w14:textId="77777777" w:rsidR="00D46E30" w:rsidRDefault="00D46E30" w:rsidP="001B6BFE">
      <w:pPr>
        <w:spacing w:after="0" w:line="240" w:lineRule="auto"/>
      </w:pPr>
      <w:r>
        <w:continuationSeparator/>
      </w:r>
    </w:p>
    <w:p w14:paraId="127419FA" w14:textId="77777777" w:rsidR="00D46E30" w:rsidRDefault="00D46E30"/>
  </w:footnote>
  <w:footnote w:id="1">
    <w:p w14:paraId="76E39EF6" w14:textId="29CB8AF5" w:rsidR="00FB4EEE" w:rsidRDefault="00FB4EEE" w:rsidP="00FB4EEE">
      <w:pPr>
        <w:pStyle w:val="FootnoteText"/>
      </w:pPr>
      <w:r>
        <w:rPr>
          <w:rStyle w:val="FootnoteReference"/>
        </w:rPr>
        <w:footnoteRef/>
      </w:r>
      <w:r w:rsidR="674B62DA">
        <w:t xml:space="preserve"> </w:t>
      </w:r>
      <w:r w:rsidR="674B62DA" w:rsidRPr="00F911CC">
        <w:t xml:space="preserve">Lead time for heatwave exceeds that of the </w:t>
      </w:r>
      <w:r w:rsidR="674B62DA">
        <w:t>a</w:t>
      </w:r>
      <w:r w:rsidR="674B62DA" w:rsidRPr="00F911CC">
        <w:t>dvice level, however it remains the closest alignment and jurisdictions should select the appropriate lead time for the community action required.</w:t>
      </w:r>
    </w:p>
  </w:footnote>
  <w:footnote w:id="2">
    <w:p w14:paraId="01770E02" w14:textId="77777777" w:rsidR="00B43F16" w:rsidRDefault="00B43F16" w:rsidP="00B43F16">
      <w:pPr>
        <w:pStyle w:val="FootnoteText"/>
      </w:pPr>
      <w:r>
        <w:rPr>
          <w:rStyle w:val="FootnoteReference"/>
        </w:rPr>
        <w:footnoteRef/>
      </w:r>
      <w:r w:rsidR="674B62DA">
        <w:t xml:space="preserve"> </w:t>
      </w:r>
      <w:r w:rsidR="674B62DA" w:rsidRPr="00B8527D">
        <w:t>NHEMS includes as its core membership health commanders in each state and territory with responsibility for management of the health sector response to emergencies, including natural disasters.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CC6BB" w14:textId="77777777" w:rsidR="00982F38" w:rsidRDefault="00982F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82D15" w14:textId="77777777" w:rsidR="00D7613D" w:rsidRDefault="00D7613D" w:rsidP="00A61D9E">
    <w:pPr>
      <w:jc w:val="right"/>
    </w:pPr>
    <w:r w:rsidRPr="00713F2F">
      <w:rPr>
        <w:noProof/>
      </w:rPr>
      <w:drawing>
        <wp:inline distT="0" distB="0" distL="0" distR="0" wp14:anchorId="4F1F0398" wp14:editId="73D9B342">
          <wp:extent cx="3028640" cy="431772"/>
          <wp:effectExtent l="0" t="0" r="0" b="635"/>
          <wp:docPr id="452875444" name="Picture 452875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1FE677A4" w14:textId="4C60D6EA" w:rsidR="00344DDF" w:rsidRPr="0080058B" w:rsidRDefault="00344DDF" w:rsidP="0080058B">
    <w:pPr>
      <w:pStyle w:val="SecurityClassification"/>
      <w:rPr>
        <w:color w:val="C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B13CA" w14:textId="77777777" w:rsidR="001B6BFE" w:rsidRDefault="007A76BC" w:rsidP="0080058B">
    <w:pPr>
      <w:pStyle w:val="Header"/>
      <w:tabs>
        <w:tab w:val="clear" w:pos="4513"/>
        <w:tab w:val="center" w:pos="4253"/>
      </w:tabs>
    </w:pPr>
    <w:r>
      <w:rPr>
        <w:noProof/>
      </w:rPr>
      <w:drawing>
        <wp:inline distT="0" distB="0" distL="0" distR="0" wp14:anchorId="01BEF167" wp14:editId="153FAACD">
          <wp:extent cx="2898012" cy="798087"/>
          <wp:effectExtent l="0" t="0" r="0" b="2540"/>
          <wp:docPr id="1827161775" name="Picture 1827161775"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E53FF" w14:textId="77777777" w:rsidR="008431C7" w:rsidRDefault="008431C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6A010" w14:textId="77777777" w:rsidR="008431C7" w:rsidRDefault="008431C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D6C03" w14:textId="77777777" w:rsidR="00F80A1B" w:rsidRDefault="00EE24B7" w:rsidP="00F80A1B">
    <w:pPr>
      <w:jc w:val="right"/>
    </w:pPr>
    <w:r w:rsidRPr="00713F2F">
      <w:rPr>
        <w:noProof/>
      </w:rPr>
      <w:drawing>
        <wp:inline distT="0" distB="0" distL="0" distR="0" wp14:anchorId="46883EA9" wp14:editId="73D8AF1C">
          <wp:extent cx="3028640" cy="431772"/>
          <wp:effectExtent l="0" t="0" r="0" b="635"/>
          <wp:docPr id="1037222707" name="Picture 10372227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7FD55BAB" w14:textId="375A69E3" w:rsidR="00F1364E" w:rsidRPr="0080058B" w:rsidRDefault="00F1364E" w:rsidP="0080058B">
    <w:pPr>
      <w:pStyle w:val="SecurityClassification"/>
      <w:rPr>
        <w:color w:val="C00000"/>
      </w:rPr>
    </w:pPr>
  </w:p>
</w:hdr>
</file>

<file path=word/intelligence2.xml><?xml version="1.0" encoding="utf-8"?>
<int2:intelligence xmlns:int2="http://schemas.microsoft.com/office/intelligence/2020/intelligence" xmlns:oel="http://schemas.microsoft.com/office/2019/extlst">
  <int2:observations>
    <int2:textHash int2:hashCode="ibp3p9vECz0eg5" int2:id="fiNGR0W3">
      <int2:state int2:value="Rejected" int2:type="AugLoop_Text_Critique"/>
    </int2:textHash>
    <int2:textHash int2:hashCode="a+bih++YAWV7qi" int2:id="E87B5DF4">
      <int2:state int2:value="Rejected" int2:type="AugLoop_Text_Critique"/>
    </int2:textHash>
    <int2:textHash int2:hashCode="+S4mtQCocEKZt/" int2:id="41xoIvXS">
      <int2:state int2:value="Rejected" int2:type="AugLoop_Text_Critique"/>
    </int2:textHash>
    <int2:textHash int2:hashCode="JUj2nsc4uVwJ/j" int2:id="wnacKlF1">
      <int2:state int2:value="Rejected" int2:type="AugLoop_Text_Critique"/>
    </int2:textHash>
    <int2:textHash int2:hashCode="wF48uN7jHyy5pf" int2:id="yrpCDBX2">
      <int2:state int2:value="Rejected" int2:type="AugLoop_Text_Critique"/>
    </int2:textHash>
    <int2:textHash int2:hashCode="gH6IBBYBUtw6IB" int2:id="qwU5Rw41">
      <int2:state int2:value="Rejected" int2:type="AugLoop_Text_Critique"/>
    </int2:textHash>
    <int2:textHash int2:hashCode="6S9fCmsFOfX2NW" int2:id="3k0fK1Nu">
      <int2:state int2:value="Rejected" int2:type="AugLoop_Text_Critique"/>
    </int2:textHash>
    <int2:textHash int2:hashCode="QftZbrnCXyHIJv" int2:id="Kf6G9qIb">
      <int2:state int2:value="Rejected" int2:type="AugLoop_Text_Critique"/>
    </int2:textHash>
    <int2:textHash int2:hashCode="OFWAy079LQoLJl" int2:id="Zlfkiuh2">
      <int2:state int2:value="Rejected" int2:type="AugLoop_Text_Critique"/>
    </int2:textHash>
    <int2:textHash int2:hashCode="7FsEiA7x0GzVPT" int2:id="68jAHE1B">
      <int2:state int2:value="Rejected" int2:type="AugLoop_Text_Critique"/>
    </int2:textHash>
    <int2:textHash int2:hashCode="/mEh1QDuArmnmy" int2:id="5EFOtLD3">
      <int2:state int2:value="Rejected" int2:type="AugLoop_Text_Critique"/>
    </int2:textHash>
    <int2:textHash int2:hashCode="VcV802scxHVHMF" int2:id="gRBcVqGc">
      <int2:state int2:value="Rejected" int2:type="AugLoop_Text_Critique"/>
    </int2:textHash>
    <int2:textHash int2:hashCode="e3g1NZf6nIWUDG" int2:id="iVGWB5F9">
      <int2:state int2:value="Rejected" int2:type="AugLoop_Text_Critique"/>
    </int2:textHash>
    <int2:textHash int2:hashCode="Q1fh5g69rCgK5c" int2:id="zydU46u8">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94EF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60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1E1B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9061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3E15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38FE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AE13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50E386"/>
    <w:lvl w:ilvl="0">
      <w:start w:val="1"/>
      <w:numFmt w:val="bullet"/>
      <w:lvlText w:val=""/>
      <w:lvlJc w:val="left"/>
      <w:pPr>
        <w:tabs>
          <w:tab w:val="num" w:pos="644"/>
        </w:tabs>
        <w:ind w:left="644" w:hanging="360"/>
      </w:pPr>
      <w:rPr>
        <w:rFonts w:ascii="Symbol" w:hAnsi="Symbol" w:hint="default"/>
      </w:rPr>
    </w:lvl>
  </w:abstractNum>
  <w:abstractNum w:abstractNumId="8" w15:restartNumberingAfterBreak="0">
    <w:nsid w:val="FFFFFF88"/>
    <w:multiLevelType w:val="singleLevel"/>
    <w:tmpl w:val="E7762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DCD8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90626E7"/>
    <w:multiLevelType w:val="hybridMultilevel"/>
    <w:tmpl w:val="3EACB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3352CA0"/>
    <w:multiLevelType w:val="hybridMultilevel"/>
    <w:tmpl w:val="75AA7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3E5B5C86"/>
    <w:multiLevelType w:val="multilevel"/>
    <w:tmpl w:val="5E6AA09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4AE1AD6"/>
    <w:multiLevelType w:val="hybridMultilevel"/>
    <w:tmpl w:val="857671D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1" w15:restartNumberingAfterBreak="0">
    <w:nsid w:val="479679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9A865A0"/>
    <w:multiLevelType w:val="multilevel"/>
    <w:tmpl w:val="7C64A0B6"/>
    <w:lvl w:ilvl="0">
      <w:start w:val="1"/>
      <w:numFmt w:val="bullet"/>
      <w:pStyle w:val="ListBullet"/>
      <w:lvlText w:val="•"/>
      <w:lvlJc w:val="left"/>
      <w:pPr>
        <w:ind w:left="284" w:hanging="284"/>
      </w:pPr>
      <w:rPr>
        <w:rFonts w:ascii="Arial" w:hAnsi="Arial" w:hint="default"/>
        <w:color w:val="auto"/>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3"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FD90DF2"/>
    <w:multiLevelType w:val="multilevel"/>
    <w:tmpl w:val="4F668474"/>
    <w:lvl w:ilvl="0">
      <w:start w:val="1"/>
      <w:numFmt w:val="decimal"/>
      <w:suff w:val="space"/>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63E5F82"/>
    <w:multiLevelType w:val="hybridMultilevel"/>
    <w:tmpl w:val="805A6F8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8"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E081937"/>
    <w:multiLevelType w:val="multilevel"/>
    <w:tmpl w:val="03EA90A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F812AA4"/>
    <w:multiLevelType w:val="multilevel"/>
    <w:tmpl w:val="518E0FC4"/>
    <w:lvl w:ilvl="0">
      <w:start w:val="1"/>
      <w:numFmt w:val="lowerLetter"/>
      <w:suff w:val="space"/>
      <w:lvlText w:val="%1."/>
      <w:lvlJc w:val="left"/>
      <w:pPr>
        <w:ind w:left="284" w:hanging="284"/>
      </w:pPr>
      <w:rPr>
        <w:rFonts w:hint="default"/>
      </w:rPr>
    </w:lvl>
    <w:lvl w:ilvl="1">
      <w:start w:val="1"/>
      <w:numFmt w:val="lowerLetter"/>
      <w:suff w:val="space"/>
      <w:lvlText w:val="%2.a"/>
      <w:lvlJc w:val="left"/>
      <w:pPr>
        <w:ind w:left="284" w:firstLine="0"/>
      </w:pPr>
      <w:rPr>
        <w:rFonts w:hint="default"/>
      </w:rPr>
    </w:lvl>
    <w:lvl w:ilvl="2">
      <w:start w:val="1"/>
      <w:numFmt w:val="lowerLetter"/>
      <w:suff w:val="space"/>
      <w:lvlText w:val="%3.a.a."/>
      <w:lvlJc w:val="left"/>
      <w:pPr>
        <w:ind w:left="851" w:hanging="284"/>
      </w:pPr>
      <w:rPr>
        <w:rFonts w:hint="default"/>
      </w:rPr>
    </w:lvl>
    <w:lvl w:ilvl="3">
      <w:start w:val="1"/>
      <w:numFmt w:val="lowerLetter"/>
      <w:suff w:val="space"/>
      <w:lvlText w:val="%4.a.a.a."/>
      <w:lvlJc w:val="left"/>
      <w:pPr>
        <w:ind w:left="1134" w:hanging="28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AB74656"/>
    <w:multiLevelType w:val="hybridMultilevel"/>
    <w:tmpl w:val="3918B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FE72F25"/>
    <w:multiLevelType w:val="hybridMultilevel"/>
    <w:tmpl w:val="B798CD40"/>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39" w15:restartNumberingAfterBreak="0">
    <w:nsid w:val="73972698"/>
    <w:multiLevelType w:val="hybridMultilevel"/>
    <w:tmpl w:val="98CEA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1" w15:restartNumberingAfterBreak="0">
    <w:nsid w:val="7C8E39E0"/>
    <w:multiLevelType w:val="multilevel"/>
    <w:tmpl w:val="D92AA0D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CF92556"/>
    <w:multiLevelType w:val="multilevel"/>
    <w:tmpl w:val="57E0A30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33917149">
    <w:abstractNumId w:val="7"/>
  </w:num>
  <w:num w:numId="2" w16cid:durableId="1107697297">
    <w:abstractNumId w:val="9"/>
  </w:num>
  <w:num w:numId="3" w16cid:durableId="1565219531">
    <w:abstractNumId w:val="19"/>
  </w:num>
  <w:num w:numId="4" w16cid:durableId="1546990968">
    <w:abstractNumId w:val="24"/>
  </w:num>
  <w:num w:numId="5" w16cid:durableId="1157914446">
    <w:abstractNumId w:val="41"/>
  </w:num>
  <w:num w:numId="6" w16cid:durableId="389422738">
    <w:abstractNumId w:val="17"/>
  </w:num>
  <w:num w:numId="7" w16cid:durableId="1330408031">
    <w:abstractNumId w:val="12"/>
  </w:num>
  <w:num w:numId="8" w16cid:durableId="568882300">
    <w:abstractNumId w:val="42"/>
  </w:num>
  <w:num w:numId="9" w16cid:durableId="765155713">
    <w:abstractNumId w:val="31"/>
  </w:num>
  <w:num w:numId="10" w16cid:durableId="88040525">
    <w:abstractNumId w:val="35"/>
  </w:num>
  <w:num w:numId="11" w16cid:durableId="201594287">
    <w:abstractNumId w:val="11"/>
  </w:num>
  <w:num w:numId="12" w16cid:durableId="536284660">
    <w:abstractNumId w:val="26"/>
  </w:num>
  <w:num w:numId="13" w16cid:durableId="994604226">
    <w:abstractNumId w:val="30"/>
  </w:num>
  <w:num w:numId="14" w16cid:durableId="1497114421">
    <w:abstractNumId w:val="28"/>
  </w:num>
  <w:num w:numId="15" w16cid:durableId="164517643">
    <w:abstractNumId w:val="10"/>
  </w:num>
  <w:num w:numId="16" w16cid:durableId="572088808">
    <w:abstractNumId w:val="32"/>
  </w:num>
  <w:num w:numId="17" w16cid:durableId="370690582">
    <w:abstractNumId w:val="15"/>
  </w:num>
  <w:num w:numId="18" w16cid:durableId="750200896">
    <w:abstractNumId w:val="21"/>
  </w:num>
  <w:num w:numId="19" w16cid:durableId="431826878">
    <w:abstractNumId w:val="34"/>
  </w:num>
  <w:num w:numId="20" w16cid:durableId="564992491">
    <w:abstractNumId w:val="14"/>
  </w:num>
  <w:num w:numId="21" w16cid:durableId="2131124249">
    <w:abstractNumId w:val="33"/>
  </w:num>
  <w:num w:numId="22" w16cid:durableId="534079393">
    <w:abstractNumId w:val="18"/>
  </w:num>
  <w:num w:numId="23" w16cid:durableId="902528530">
    <w:abstractNumId w:val="25"/>
  </w:num>
  <w:num w:numId="24" w16cid:durableId="638924401">
    <w:abstractNumId w:val="22"/>
  </w:num>
  <w:num w:numId="25" w16cid:durableId="1936203236">
    <w:abstractNumId w:val="40"/>
  </w:num>
  <w:num w:numId="26" w16cid:durableId="612328318">
    <w:abstractNumId w:val="4"/>
  </w:num>
  <w:num w:numId="27" w16cid:durableId="159321058">
    <w:abstractNumId w:val="29"/>
  </w:num>
  <w:num w:numId="28" w16cid:durableId="1706131316">
    <w:abstractNumId w:val="37"/>
  </w:num>
  <w:num w:numId="29" w16cid:durableId="885993449">
    <w:abstractNumId w:val="23"/>
  </w:num>
  <w:num w:numId="30" w16cid:durableId="1742828304">
    <w:abstractNumId w:val="0"/>
  </w:num>
  <w:num w:numId="31" w16cid:durableId="537739370">
    <w:abstractNumId w:val="1"/>
  </w:num>
  <w:num w:numId="32" w16cid:durableId="1723864625">
    <w:abstractNumId w:val="2"/>
  </w:num>
  <w:num w:numId="33" w16cid:durableId="1902522171">
    <w:abstractNumId w:val="3"/>
  </w:num>
  <w:num w:numId="34" w16cid:durableId="579366518">
    <w:abstractNumId w:val="8"/>
  </w:num>
  <w:num w:numId="35" w16cid:durableId="2041320233">
    <w:abstractNumId w:val="5"/>
  </w:num>
  <w:num w:numId="36" w16cid:durableId="1880505947">
    <w:abstractNumId w:val="6"/>
  </w:num>
  <w:num w:numId="37" w16cid:durableId="14117313">
    <w:abstractNumId w:val="22"/>
  </w:num>
  <w:num w:numId="38" w16cid:durableId="1551763648">
    <w:abstractNumId w:val="22"/>
  </w:num>
  <w:num w:numId="39" w16cid:durableId="984240204">
    <w:abstractNumId w:val="22"/>
  </w:num>
  <w:num w:numId="40" w16cid:durableId="1296333310">
    <w:abstractNumId w:val="22"/>
  </w:num>
  <w:num w:numId="41" w16cid:durableId="339890064">
    <w:abstractNumId w:val="13"/>
  </w:num>
  <w:num w:numId="42" w16cid:durableId="1117288611">
    <w:abstractNumId w:val="36"/>
  </w:num>
  <w:num w:numId="43" w16cid:durableId="1683976162">
    <w:abstractNumId w:val="39"/>
  </w:num>
  <w:num w:numId="44" w16cid:durableId="803038286">
    <w:abstractNumId w:val="27"/>
  </w:num>
  <w:num w:numId="45" w16cid:durableId="1079062573">
    <w:abstractNumId w:val="38"/>
  </w:num>
  <w:num w:numId="46" w16cid:durableId="1827744982">
    <w:abstractNumId w:val="20"/>
  </w:num>
  <w:num w:numId="47" w16cid:durableId="198110937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QyMTQzMTQxNTGwMDdS0lEKTi0uzszPAykwrQUAQ93x7ywAAAA="/>
  </w:docVars>
  <w:rsids>
    <w:rsidRoot w:val="00605443"/>
    <w:rsid w:val="000004DE"/>
    <w:rsid w:val="0001569D"/>
    <w:rsid w:val="00023C57"/>
    <w:rsid w:val="000534CD"/>
    <w:rsid w:val="000A23C5"/>
    <w:rsid w:val="000C5A2C"/>
    <w:rsid w:val="000C5EC6"/>
    <w:rsid w:val="001120F1"/>
    <w:rsid w:val="00134867"/>
    <w:rsid w:val="001357A1"/>
    <w:rsid w:val="001445D1"/>
    <w:rsid w:val="0015051D"/>
    <w:rsid w:val="001A3B69"/>
    <w:rsid w:val="001B6BFE"/>
    <w:rsid w:val="001C0130"/>
    <w:rsid w:val="001C4EBF"/>
    <w:rsid w:val="001D62BB"/>
    <w:rsid w:val="0021605D"/>
    <w:rsid w:val="00244C8F"/>
    <w:rsid w:val="00291179"/>
    <w:rsid w:val="002E031B"/>
    <w:rsid w:val="002E1727"/>
    <w:rsid w:val="002E6A63"/>
    <w:rsid w:val="00312D43"/>
    <w:rsid w:val="00314848"/>
    <w:rsid w:val="00322AD1"/>
    <w:rsid w:val="00344DDF"/>
    <w:rsid w:val="00347D47"/>
    <w:rsid w:val="0035751D"/>
    <w:rsid w:val="003979AA"/>
    <w:rsid w:val="003E61AA"/>
    <w:rsid w:val="00424D45"/>
    <w:rsid w:val="004333E7"/>
    <w:rsid w:val="00452117"/>
    <w:rsid w:val="004829B8"/>
    <w:rsid w:val="00492BE0"/>
    <w:rsid w:val="004A566A"/>
    <w:rsid w:val="004B5FAC"/>
    <w:rsid w:val="004C0541"/>
    <w:rsid w:val="00522AF7"/>
    <w:rsid w:val="005329DA"/>
    <w:rsid w:val="0055334E"/>
    <w:rsid w:val="00584165"/>
    <w:rsid w:val="005B0D02"/>
    <w:rsid w:val="005B59A8"/>
    <w:rsid w:val="005B5C26"/>
    <w:rsid w:val="005B6874"/>
    <w:rsid w:val="00605443"/>
    <w:rsid w:val="00612D75"/>
    <w:rsid w:val="00630037"/>
    <w:rsid w:val="00634704"/>
    <w:rsid w:val="006433AC"/>
    <w:rsid w:val="006549D8"/>
    <w:rsid w:val="00663CE2"/>
    <w:rsid w:val="00664168"/>
    <w:rsid w:val="006651DE"/>
    <w:rsid w:val="00673218"/>
    <w:rsid w:val="006A77DF"/>
    <w:rsid w:val="006B4C05"/>
    <w:rsid w:val="006C2490"/>
    <w:rsid w:val="006F6337"/>
    <w:rsid w:val="007307FE"/>
    <w:rsid w:val="00747EFA"/>
    <w:rsid w:val="007A76BC"/>
    <w:rsid w:val="0080058B"/>
    <w:rsid w:val="008431C7"/>
    <w:rsid w:val="00843254"/>
    <w:rsid w:val="0085642C"/>
    <w:rsid w:val="008629FA"/>
    <w:rsid w:val="00871D70"/>
    <w:rsid w:val="00880FA0"/>
    <w:rsid w:val="00892603"/>
    <w:rsid w:val="008E494B"/>
    <w:rsid w:val="00980A2B"/>
    <w:rsid w:val="00982D29"/>
    <w:rsid w:val="00982F38"/>
    <w:rsid w:val="009A1A8A"/>
    <w:rsid w:val="009B45AF"/>
    <w:rsid w:val="00A047F4"/>
    <w:rsid w:val="00A41BD0"/>
    <w:rsid w:val="00A61D9E"/>
    <w:rsid w:val="00A70CFE"/>
    <w:rsid w:val="00A85E3F"/>
    <w:rsid w:val="00A9723E"/>
    <w:rsid w:val="00AA7DA6"/>
    <w:rsid w:val="00AB3DF7"/>
    <w:rsid w:val="00AE0BEA"/>
    <w:rsid w:val="00B20572"/>
    <w:rsid w:val="00B328E9"/>
    <w:rsid w:val="00B34D43"/>
    <w:rsid w:val="00B41E8A"/>
    <w:rsid w:val="00B435DD"/>
    <w:rsid w:val="00B43F16"/>
    <w:rsid w:val="00B7059B"/>
    <w:rsid w:val="00B7352B"/>
    <w:rsid w:val="00B877F0"/>
    <w:rsid w:val="00B92F93"/>
    <w:rsid w:val="00B96ECC"/>
    <w:rsid w:val="00BA195A"/>
    <w:rsid w:val="00BC26C8"/>
    <w:rsid w:val="00BF7FB1"/>
    <w:rsid w:val="00C13FD4"/>
    <w:rsid w:val="00C26302"/>
    <w:rsid w:val="00C543ED"/>
    <w:rsid w:val="00C81312"/>
    <w:rsid w:val="00CD2499"/>
    <w:rsid w:val="00CD7AB1"/>
    <w:rsid w:val="00CF72D4"/>
    <w:rsid w:val="00D46E30"/>
    <w:rsid w:val="00D52581"/>
    <w:rsid w:val="00D66B42"/>
    <w:rsid w:val="00D76079"/>
    <w:rsid w:val="00D7613D"/>
    <w:rsid w:val="00D855CE"/>
    <w:rsid w:val="00D9718B"/>
    <w:rsid w:val="00E01FB0"/>
    <w:rsid w:val="00E21270"/>
    <w:rsid w:val="00E36AA0"/>
    <w:rsid w:val="00E4034F"/>
    <w:rsid w:val="00E63485"/>
    <w:rsid w:val="00E663EE"/>
    <w:rsid w:val="00E74AAA"/>
    <w:rsid w:val="00E851DA"/>
    <w:rsid w:val="00EA61D6"/>
    <w:rsid w:val="00EC7646"/>
    <w:rsid w:val="00ED19BA"/>
    <w:rsid w:val="00ED5F12"/>
    <w:rsid w:val="00EE24B7"/>
    <w:rsid w:val="00F12BC8"/>
    <w:rsid w:val="00F1364E"/>
    <w:rsid w:val="00F142E4"/>
    <w:rsid w:val="00F22226"/>
    <w:rsid w:val="00F54DA8"/>
    <w:rsid w:val="00F80A1B"/>
    <w:rsid w:val="00FA505B"/>
    <w:rsid w:val="00FA5735"/>
    <w:rsid w:val="00FA7F41"/>
    <w:rsid w:val="00FB4EEE"/>
    <w:rsid w:val="00FE1371"/>
    <w:rsid w:val="00FE5844"/>
    <w:rsid w:val="0235179A"/>
    <w:rsid w:val="0298D54D"/>
    <w:rsid w:val="07B0E262"/>
    <w:rsid w:val="0AA929AD"/>
    <w:rsid w:val="0BFB7AA0"/>
    <w:rsid w:val="1733B458"/>
    <w:rsid w:val="18CC40ED"/>
    <w:rsid w:val="1AFF1F60"/>
    <w:rsid w:val="24865850"/>
    <w:rsid w:val="278260B4"/>
    <w:rsid w:val="2E9F07E2"/>
    <w:rsid w:val="2EA357D1"/>
    <w:rsid w:val="37DFE7BF"/>
    <w:rsid w:val="3A89FE4F"/>
    <w:rsid w:val="3CB68665"/>
    <w:rsid w:val="41B6221E"/>
    <w:rsid w:val="41B7F7FB"/>
    <w:rsid w:val="445C0831"/>
    <w:rsid w:val="44B2E7AA"/>
    <w:rsid w:val="45767B33"/>
    <w:rsid w:val="4978CD7E"/>
    <w:rsid w:val="4B3277E4"/>
    <w:rsid w:val="52393793"/>
    <w:rsid w:val="52C6185C"/>
    <w:rsid w:val="5536B082"/>
    <w:rsid w:val="60312D71"/>
    <w:rsid w:val="6467B160"/>
    <w:rsid w:val="6491AA55"/>
    <w:rsid w:val="674B62DA"/>
    <w:rsid w:val="67F5D4DA"/>
    <w:rsid w:val="6823AF6B"/>
    <w:rsid w:val="6919A12E"/>
    <w:rsid w:val="6F31C36E"/>
    <w:rsid w:val="7168D9DE"/>
    <w:rsid w:val="720BE70B"/>
    <w:rsid w:val="7B60CC16"/>
    <w:rsid w:val="7D1DEF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3EB6E"/>
  <w15:chartTrackingRefBased/>
  <w15:docId w15:val="{6779869D-E234-4236-87BE-C108A2ADD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674B62DA"/>
    <w:pPr>
      <w:spacing w:after="120" w:line="276" w:lineRule="auto"/>
    </w:pPr>
    <w:rPr>
      <w:sz w:val="22"/>
      <w:szCs w:val="22"/>
    </w:rPr>
  </w:style>
  <w:style w:type="paragraph" w:styleId="Heading1">
    <w:name w:val="heading 1"/>
    <w:basedOn w:val="Normal"/>
    <w:next w:val="Normal"/>
    <w:link w:val="Heading1Char"/>
    <w:uiPriority w:val="9"/>
    <w:qFormat/>
    <w:rsid w:val="674B62DA"/>
    <w:pPr>
      <w:keepNext/>
      <w:keepLines/>
      <w:spacing w:before="240"/>
      <w:outlineLvl w:val="0"/>
    </w:pPr>
    <w:rPr>
      <w:rFonts w:eastAsiaTheme="majorEastAsia" w:cstheme="majorBidi"/>
      <w:b/>
      <w:bCs/>
      <w:color w:val="000000" w:themeColor="text1"/>
      <w:sz w:val="36"/>
      <w:szCs w:val="36"/>
    </w:rPr>
  </w:style>
  <w:style w:type="paragraph" w:styleId="Heading2">
    <w:name w:val="heading 2"/>
    <w:basedOn w:val="Normal"/>
    <w:next w:val="Normal"/>
    <w:link w:val="Heading2Char"/>
    <w:uiPriority w:val="9"/>
    <w:unhideWhenUsed/>
    <w:qFormat/>
    <w:rsid w:val="674B62DA"/>
    <w:pPr>
      <w:keepNext/>
      <w:keepLines/>
      <w:spacing w:before="240"/>
      <w:outlineLvl w:val="1"/>
    </w:pPr>
    <w:rPr>
      <w:rFonts w:eastAsiaTheme="majorEastAsia" w:cstheme="majorBidi"/>
      <w:b/>
      <w:bCs/>
      <w:color w:val="000000" w:themeColor="text1"/>
      <w:sz w:val="30"/>
      <w:szCs w:val="30"/>
    </w:rPr>
  </w:style>
  <w:style w:type="paragraph" w:styleId="Heading3">
    <w:name w:val="heading 3"/>
    <w:basedOn w:val="Normal"/>
    <w:next w:val="Normal"/>
    <w:link w:val="Heading3Char"/>
    <w:uiPriority w:val="9"/>
    <w:unhideWhenUsed/>
    <w:qFormat/>
    <w:rsid w:val="674B62DA"/>
    <w:pPr>
      <w:keepNext/>
      <w:keepLines/>
      <w:spacing w:before="240"/>
      <w:outlineLvl w:val="2"/>
    </w:pPr>
    <w:rPr>
      <w:rFonts w:eastAsiaTheme="majorEastAsia" w:cstheme="majorBidi"/>
      <w:b/>
      <w:bCs/>
      <w:color w:val="000000" w:themeColor="text1"/>
      <w:sz w:val="24"/>
      <w:szCs w:val="24"/>
    </w:rPr>
  </w:style>
  <w:style w:type="paragraph" w:styleId="Heading4">
    <w:name w:val="heading 4"/>
    <w:basedOn w:val="Normal"/>
    <w:next w:val="Normal"/>
    <w:link w:val="Heading4Char"/>
    <w:uiPriority w:val="9"/>
    <w:semiHidden/>
    <w:unhideWhenUsed/>
    <w:qFormat/>
    <w:rsid w:val="674B62DA"/>
    <w:pPr>
      <w:keepNext/>
      <w:keepLines/>
      <w:spacing w:before="240"/>
      <w:outlineLvl w:val="3"/>
    </w:pPr>
    <w:rPr>
      <w:rFonts w:eastAsiaTheme="majorEastAsia" w:cstheme="majorBidi"/>
      <w:b/>
      <w:bCs/>
      <w:color w:val="000000" w:themeColor="text1"/>
    </w:rPr>
  </w:style>
  <w:style w:type="paragraph" w:styleId="Heading5">
    <w:name w:val="heading 5"/>
    <w:basedOn w:val="Normal"/>
    <w:next w:val="Normal"/>
    <w:link w:val="Heading5Char"/>
    <w:uiPriority w:val="9"/>
    <w:unhideWhenUsed/>
    <w:qFormat/>
    <w:rsid w:val="674B62DA"/>
    <w:pPr>
      <w:keepNext/>
      <w:keepLines/>
      <w:spacing w:before="40" w:after="0"/>
      <w:outlineLvl w:val="4"/>
    </w:pPr>
    <w:rPr>
      <w:rFonts w:asciiTheme="majorHAnsi" w:eastAsiaTheme="majorEastAsia" w:hAnsiTheme="majorHAnsi" w:cstheme="majorBidi"/>
      <w:color w:val="1546B1" w:themeColor="accent1" w:themeShade="BF"/>
    </w:rPr>
  </w:style>
  <w:style w:type="paragraph" w:styleId="Heading6">
    <w:name w:val="heading 6"/>
    <w:basedOn w:val="Normal"/>
    <w:next w:val="Normal"/>
    <w:link w:val="Heading6Char"/>
    <w:uiPriority w:val="9"/>
    <w:unhideWhenUsed/>
    <w:qFormat/>
    <w:rsid w:val="674B62DA"/>
    <w:pPr>
      <w:keepNext/>
      <w:keepLines/>
      <w:spacing w:before="40" w:after="0"/>
      <w:outlineLvl w:val="5"/>
    </w:pPr>
    <w:rPr>
      <w:rFonts w:asciiTheme="majorHAnsi" w:eastAsiaTheme="majorEastAsia" w:hAnsiTheme="majorHAnsi" w:cstheme="majorBidi"/>
      <w:color w:val="0E2E75"/>
    </w:rPr>
  </w:style>
  <w:style w:type="paragraph" w:styleId="Heading7">
    <w:name w:val="heading 7"/>
    <w:basedOn w:val="Normal"/>
    <w:next w:val="Normal"/>
    <w:link w:val="Heading7Char"/>
    <w:uiPriority w:val="9"/>
    <w:unhideWhenUsed/>
    <w:qFormat/>
    <w:rsid w:val="674B62DA"/>
    <w:pPr>
      <w:keepNext/>
      <w:keepLines/>
      <w:spacing w:before="40" w:after="0"/>
      <w:outlineLvl w:val="6"/>
    </w:pPr>
    <w:rPr>
      <w:rFonts w:asciiTheme="majorHAnsi" w:eastAsiaTheme="majorEastAsia" w:hAnsiTheme="majorHAnsi" w:cstheme="majorBidi"/>
      <w:i/>
      <w:iCs/>
      <w:color w:val="0E2E75"/>
    </w:rPr>
  </w:style>
  <w:style w:type="paragraph" w:styleId="Heading8">
    <w:name w:val="heading 8"/>
    <w:basedOn w:val="Normal"/>
    <w:next w:val="Normal"/>
    <w:link w:val="Heading8Char"/>
    <w:uiPriority w:val="9"/>
    <w:unhideWhenUsed/>
    <w:qFormat/>
    <w:rsid w:val="674B62DA"/>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674B62DA"/>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674B62DA"/>
    <w:rPr>
      <w:rFonts w:ascii="Arial" w:eastAsiaTheme="majorEastAsia" w:hAnsi="Arial" w:cstheme="majorBidi"/>
      <w:b/>
      <w:bCs/>
      <w:noProof w:val="0"/>
      <w:color w:val="000000" w:themeColor="text1"/>
      <w:sz w:val="36"/>
      <w:szCs w:val="36"/>
      <w:lang w:val="en-AU"/>
    </w:rPr>
  </w:style>
  <w:style w:type="character" w:customStyle="1" w:styleId="Heading2Char">
    <w:name w:val="Heading 2 Char"/>
    <w:basedOn w:val="DefaultParagraphFont"/>
    <w:link w:val="Heading2"/>
    <w:uiPriority w:val="9"/>
    <w:rsid w:val="674B62DA"/>
    <w:rPr>
      <w:rFonts w:ascii="Arial" w:eastAsiaTheme="majorEastAsia" w:hAnsi="Arial" w:cstheme="majorBidi"/>
      <w:b/>
      <w:bCs/>
      <w:noProof w:val="0"/>
      <w:color w:val="000000" w:themeColor="text1"/>
      <w:sz w:val="30"/>
      <w:szCs w:val="30"/>
      <w:lang w:val="en-AU"/>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674B62DA"/>
    <w:pPr>
      <w:spacing w:before="360" w:after="360"/>
    </w:pPr>
    <w:rPr>
      <w:b/>
      <w:bCs/>
      <w:color w:val="2461E5" w:themeColor="accent1"/>
      <w:sz w:val="60"/>
      <w:szCs w:val="60"/>
    </w:rPr>
  </w:style>
  <w:style w:type="character" w:customStyle="1" w:styleId="TitleChar">
    <w:name w:val="Title Char"/>
    <w:basedOn w:val="DefaultParagraphFont"/>
    <w:link w:val="Title"/>
    <w:uiPriority w:val="10"/>
    <w:rsid w:val="674B62DA"/>
    <w:rPr>
      <w:rFonts w:ascii="Arial" w:eastAsiaTheme="minorEastAsia" w:hAnsi="Arial" w:cstheme="minorBidi"/>
      <w:b/>
      <w:bCs/>
      <w:noProof w:val="0"/>
      <w:color w:val="2461E5" w:themeColor="accent1"/>
      <w:sz w:val="60"/>
      <w:szCs w:val="60"/>
      <w:lang w:val="en-AU"/>
    </w:rPr>
  </w:style>
  <w:style w:type="paragraph" w:styleId="Caption">
    <w:name w:val="caption"/>
    <w:basedOn w:val="Normal"/>
    <w:next w:val="Normal"/>
    <w:uiPriority w:val="35"/>
    <w:unhideWhenUsed/>
    <w:qFormat/>
    <w:rsid w:val="674B62DA"/>
    <w:pPr>
      <w:spacing w:before="120" w:after="200"/>
    </w:pPr>
    <w:rPr>
      <w:sz w:val="18"/>
      <w:szCs w:val="18"/>
    </w:rPr>
  </w:style>
  <w:style w:type="paragraph" w:styleId="Header">
    <w:name w:val="header"/>
    <w:basedOn w:val="Normal"/>
    <w:link w:val="HeaderChar"/>
    <w:uiPriority w:val="99"/>
    <w:unhideWhenUsed/>
    <w:rsid w:val="674B62DA"/>
    <w:pPr>
      <w:tabs>
        <w:tab w:val="center" w:pos="4513"/>
        <w:tab w:val="right" w:pos="9026"/>
      </w:tabs>
      <w:spacing w:after="0"/>
    </w:pPr>
  </w:style>
  <w:style w:type="character" w:customStyle="1" w:styleId="HeaderChar">
    <w:name w:val="Header Char"/>
    <w:basedOn w:val="DefaultParagraphFont"/>
    <w:link w:val="Header"/>
    <w:uiPriority w:val="99"/>
    <w:rsid w:val="674B62DA"/>
    <w:rPr>
      <w:rFonts w:ascii="Arial" w:eastAsiaTheme="minorEastAsia" w:hAnsi="Arial" w:cstheme="minorBidi"/>
      <w:noProof w:val="0"/>
      <w:sz w:val="22"/>
      <w:szCs w:val="22"/>
      <w:lang w:val="en-AU"/>
    </w:rPr>
  </w:style>
  <w:style w:type="paragraph" w:styleId="Footer">
    <w:name w:val="footer"/>
    <w:basedOn w:val="Normal"/>
    <w:link w:val="FooterChar"/>
    <w:uiPriority w:val="99"/>
    <w:unhideWhenUsed/>
    <w:rsid w:val="674B62DA"/>
    <w:pPr>
      <w:tabs>
        <w:tab w:val="center" w:pos="4513"/>
        <w:tab w:val="right" w:pos="9026"/>
      </w:tabs>
      <w:spacing w:before="420" w:after="0"/>
    </w:pPr>
    <w:rPr>
      <w:sz w:val="20"/>
      <w:szCs w:val="20"/>
    </w:rPr>
  </w:style>
  <w:style w:type="character" w:customStyle="1" w:styleId="FooterChar">
    <w:name w:val="Footer Char"/>
    <w:basedOn w:val="DefaultParagraphFont"/>
    <w:link w:val="Footer"/>
    <w:uiPriority w:val="99"/>
    <w:rsid w:val="674B62DA"/>
    <w:rPr>
      <w:rFonts w:ascii="Arial" w:eastAsiaTheme="minorEastAsia" w:hAnsi="Arial" w:cstheme="minorBidi"/>
      <w:noProof w:val="0"/>
      <w:sz w:val="20"/>
      <w:szCs w:val="20"/>
      <w:lang w:val="en-AU"/>
    </w:rPr>
  </w:style>
  <w:style w:type="paragraph" w:customStyle="1" w:styleId="SecurityClassification">
    <w:name w:val="Security Classification"/>
    <w:basedOn w:val="Header"/>
    <w:uiPriority w:val="1"/>
    <w:qFormat/>
    <w:rsid w:val="674B62DA"/>
    <w:pPr>
      <w:tabs>
        <w:tab w:val="center" w:pos="4253"/>
      </w:tabs>
      <w:spacing w:before="120" w:after="120"/>
      <w:ind w:left="426" w:hanging="284"/>
      <w:jc w:val="center"/>
    </w:pPr>
    <w:rPr>
      <w:b/>
      <w:bCs/>
      <w:color w:val="FF0000"/>
      <w:sz w:val="24"/>
      <w:szCs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674B62DA"/>
    <w:rPr>
      <w:rFonts w:ascii="Arial" w:eastAsiaTheme="majorEastAsia" w:hAnsi="Arial" w:cstheme="majorBidi"/>
      <w:b/>
      <w:bCs/>
      <w:noProof w:val="0"/>
      <w:color w:val="000000" w:themeColor="text1"/>
      <w:lang w:val="en-AU"/>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674B62DA"/>
    <w:pPr>
      <w:numPr>
        <w:numId w:val="24"/>
      </w:numPr>
      <w:spacing w:after="40"/>
      <w:contextualSpacing/>
    </w:pPr>
  </w:style>
  <w:style w:type="paragraph" w:styleId="ListBullet2">
    <w:name w:val="List Bullet 2"/>
    <w:basedOn w:val="Normal"/>
    <w:uiPriority w:val="99"/>
    <w:unhideWhenUsed/>
    <w:rsid w:val="674B62DA"/>
    <w:pPr>
      <w:numPr>
        <w:ilvl w:val="1"/>
        <w:numId w:val="24"/>
      </w:numPr>
      <w:contextualSpacing/>
    </w:pPr>
  </w:style>
  <w:style w:type="paragraph" w:customStyle="1" w:styleId="NumberedHeading1">
    <w:name w:val="Numbered Heading 1"/>
    <w:basedOn w:val="Normal"/>
    <w:uiPriority w:val="1"/>
    <w:qFormat/>
    <w:rsid w:val="674B62DA"/>
    <w:pPr>
      <w:keepNext/>
      <w:keepLines/>
      <w:numPr>
        <w:numId w:val="19"/>
      </w:numPr>
      <w:spacing w:before="240"/>
      <w:outlineLvl w:val="1"/>
    </w:pPr>
    <w:rPr>
      <w:rFonts w:eastAsiaTheme="majorEastAsia" w:cstheme="majorBidi"/>
      <w:b/>
      <w:bCs/>
      <w:color w:val="000000" w:themeColor="text1"/>
      <w:sz w:val="36"/>
      <w:szCs w:val="36"/>
    </w:rPr>
  </w:style>
  <w:style w:type="paragraph" w:customStyle="1" w:styleId="NumberedHeading2">
    <w:name w:val="Numbered Heading 2"/>
    <w:basedOn w:val="NumberedHeading1"/>
    <w:uiPriority w:val="1"/>
    <w:qFormat/>
    <w:rsid w:val="674B62DA"/>
    <w:rPr>
      <w:sz w:val="30"/>
      <w:szCs w:val="30"/>
    </w:rPr>
  </w:style>
  <w:style w:type="character" w:customStyle="1" w:styleId="Heading4Char">
    <w:name w:val="Heading 4 Char"/>
    <w:basedOn w:val="DefaultParagraphFont"/>
    <w:link w:val="Heading4"/>
    <w:uiPriority w:val="9"/>
    <w:semiHidden/>
    <w:rsid w:val="674B62DA"/>
    <w:rPr>
      <w:rFonts w:ascii="Arial" w:eastAsiaTheme="majorEastAsia" w:hAnsi="Arial" w:cstheme="majorBidi"/>
      <w:b/>
      <w:bCs/>
      <w:noProof w:val="0"/>
      <w:color w:val="000000" w:themeColor="text1"/>
      <w:sz w:val="22"/>
      <w:szCs w:val="22"/>
      <w:lang w:val="en-AU"/>
    </w:rPr>
  </w:style>
  <w:style w:type="paragraph" w:customStyle="1" w:styleId="NumberedHeading3">
    <w:name w:val="Numbered Heading 3"/>
    <w:basedOn w:val="NumberedHeading2"/>
    <w:uiPriority w:val="1"/>
    <w:qFormat/>
    <w:rsid w:val="674B62DA"/>
    <w:rPr>
      <w:sz w:val="24"/>
      <w:szCs w:val="24"/>
    </w:rPr>
  </w:style>
  <w:style w:type="paragraph" w:customStyle="1" w:styleId="NumberedHeading4">
    <w:name w:val="Numbered Heading 4"/>
    <w:basedOn w:val="NumberedHeading3"/>
    <w:uiPriority w:val="1"/>
    <w:qFormat/>
    <w:rsid w:val="674B62DA"/>
    <w:rPr>
      <w:sz w:val="22"/>
      <w:szCs w:val="22"/>
    </w:rPr>
  </w:style>
  <w:style w:type="numbering" w:customStyle="1" w:styleId="CurrentList1">
    <w:name w:val="Current List1"/>
    <w:uiPriority w:val="99"/>
    <w:rsid w:val="00F1364E"/>
    <w:pPr>
      <w:numPr>
        <w:numId w:val="6"/>
      </w:numPr>
    </w:pPr>
  </w:style>
  <w:style w:type="numbering" w:customStyle="1" w:styleId="CurrentList12">
    <w:name w:val="Current List12"/>
    <w:uiPriority w:val="99"/>
    <w:rsid w:val="00E74AAA"/>
    <w:pPr>
      <w:numPr>
        <w:numId w:val="20"/>
      </w:numPr>
    </w:pPr>
  </w:style>
  <w:style w:type="numbering" w:customStyle="1" w:styleId="CurrentList2">
    <w:name w:val="Current List2"/>
    <w:uiPriority w:val="99"/>
    <w:rsid w:val="00F1364E"/>
    <w:pPr>
      <w:numPr>
        <w:numId w:val="7"/>
      </w:numPr>
    </w:pPr>
  </w:style>
  <w:style w:type="numbering" w:customStyle="1" w:styleId="CurrentList3">
    <w:name w:val="Current List3"/>
    <w:uiPriority w:val="99"/>
    <w:rsid w:val="00F1364E"/>
    <w:pPr>
      <w:numPr>
        <w:numId w:val="9"/>
      </w:numPr>
    </w:pPr>
  </w:style>
  <w:style w:type="numbering" w:customStyle="1" w:styleId="CurrentList4">
    <w:name w:val="Current List4"/>
    <w:uiPriority w:val="99"/>
    <w:rsid w:val="00982D29"/>
    <w:pPr>
      <w:numPr>
        <w:numId w:val="10"/>
      </w:numPr>
    </w:pPr>
  </w:style>
  <w:style w:type="numbering" w:customStyle="1" w:styleId="CurrentList5">
    <w:name w:val="Current List5"/>
    <w:uiPriority w:val="99"/>
    <w:rsid w:val="00982D29"/>
    <w:pPr>
      <w:numPr>
        <w:numId w:val="11"/>
      </w:numPr>
    </w:pPr>
  </w:style>
  <w:style w:type="numbering" w:customStyle="1" w:styleId="CurrentList6">
    <w:name w:val="Current List6"/>
    <w:uiPriority w:val="99"/>
    <w:rsid w:val="00982D29"/>
    <w:pPr>
      <w:numPr>
        <w:numId w:val="12"/>
      </w:numPr>
    </w:pPr>
  </w:style>
  <w:style w:type="numbering" w:customStyle="1" w:styleId="CurrentList7">
    <w:name w:val="Current List7"/>
    <w:uiPriority w:val="99"/>
    <w:rsid w:val="00982D29"/>
    <w:pPr>
      <w:numPr>
        <w:numId w:val="13"/>
      </w:numPr>
    </w:pPr>
  </w:style>
  <w:style w:type="numbering" w:customStyle="1" w:styleId="CurrentList8">
    <w:name w:val="Current List8"/>
    <w:uiPriority w:val="99"/>
    <w:rsid w:val="00982D29"/>
    <w:pPr>
      <w:numPr>
        <w:numId w:val="14"/>
      </w:numPr>
    </w:pPr>
  </w:style>
  <w:style w:type="numbering" w:customStyle="1" w:styleId="CurrentList9">
    <w:name w:val="Current List9"/>
    <w:uiPriority w:val="99"/>
    <w:rsid w:val="00982D29"/>
    <w:pPr>
      <w:numPr>
        <w:numId w:val="15"/>
      </w:numPr>
    </w:pPr>
  </w:style>
  <w:style w:type="numbering" w:customStyle="1" w:styleId="CurrentList10">
    <w:name w:val="Current List10"/>
    <w:uiPriority w:val="99"/>
    <w:rsid w:val="00982D29"/>
    <w:pPr>
      <w:numPr>
        <w:numId w:val="16"/>
      </w:numPr>
    </w:pPr>
  </w:style>
  <w:style w:type="numbering" w:customStyle="1" w:styleId="CurrentList11">
    <w:name w:val="Current List11"/>
    <w:uiPriority w:val="99"/>
    <w:rsid w:val="00982D29"/>
    <w:pPr>
      <w:numPr>
        <w:numId w:val="17"/>
      </w:numPr>
    </w:pPr>
  </w:style>
  <w:style w:type="numbering" w:customStyle="1" w:styleId="CurrentList13">
    <w:name w:val="Current List13"/>
    <w:uiPriority w:val="99"/>
    <w:rsid w:val="00FA505B"/>
    <w:pPr>
      <w:numPr>
        <w:numId w:val="22"/>
      </w:numPr>
    </w:pPr>
  </w:style>
  <w:style w:type="numbering" w:customStyle="1" w:styleId="CurrentList14">
    <w:name w:val="Current List14"/>
    <w:uiPriority w:val="99"/>
    <w:rsid w:val="00FA505B"/>
    <w:pPr>
      <w:numPr>
        <w:numId w:val="23"/>
      </w:numPr>
    </w:pPr>
  </w:style>
  <w:style w:type="numbering" w:customStyle="1" w:styleId="CurrentList15">
    <w:name w:val="Current List15"/>
    <w:uiPriority w:val="99"/>
    <w:rsid w:val="00FA505B"/>
    <w:pPr>
      <w:numPr>
        <w:numId w:val="25"/>
      </w:numPr>
    </w:pPr>
  </w:style>
  <w:style w:type="paragraph" w:styleId="TOC1">
    <w:name w:val="toc 1"/>
    <w:basedOn w:val="Heading1"/>
    <w:next w:val="Normal"/>
    <w:uiPriority w:val="39"/>
    <w:unhideWhenUsed/>
    <w:rsid w:val="674B62DA"/>
    <w:pPr>
      <w:spacing w:after="100"/>
    </w:pPr>
  </w:style>
  <w:style w:type="paragraph" w:styleId="TOC2">
    <w:name w:val="toc 2"/>
    <w:basedOn w:val="Heading2"/>
    <w:next w:val="Normal"/>
    <w:uiPriority w:val="39"/>
    <w:unhideWhenUsed/>
    <w:rsid w:val="674B62DA"/>
    <w:pPr>
      <w:tabs>
        <w:tab w:val="right" w:leader="dot" w:pos="9628"/>
      </w:tabs>
      <w:spacing w:after="100"/>
      <w:ind w:left="220"/>
    </w:pPr>
  </w:style>
  <w:style w:type="paragraph" w:styleId="TOC3">
    <w:name w:val="toc 3"/>
    <w:basedOn w:val="Heading3"/>
    <w:next w:val="Normal"/>
    <w:uiPriority w:val="39"/>
    <w:unhideWhenUsed/>
    <w:rsid w:val="674B62DA"/>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uiPriority w:val="1"/>
    <w:qFormat/>
    <w:rsid w:val="674B62DA"/>
    <w:pPr>
      <w:spacing w:before="60" w:after="60"/>
    </w:pPr>
    <w:rPr>
      <w:b/>
      <w:bCs/>
      <w:color w:val="FFFFFF" w:themeColor="background1"/>
      <w:sz w:val="24"/>
      <w:szCs w:val="24"/>
    </w:rPr>
  </w:style>
  <w:style w:type="paragraph" w:styleId="TOC4">
    <w:name w:val="toc 4"/>
    <w:basedOn w:val="Heading4"/>
    <w:next w:val="Normal"/>
    <w:uiPriority w:val="39"/>
    <w:semiHidden/>
    <w:unhideWhenUsed/>
    <w:rsid w:val="674B62DA"/>
    <w:pPr>
      <w:spacing w:after="100"/>
      <w:ind w:left="660"/>
    </w:pPr>
  </w:style>
  <w:style w:type="paragraph" w:customStyle="1" w:styleId="Tablebodytext">
    <w:name w:val="Table body text"/>
    <w:basedOn w:val="Tableheadingrow"/>
    <w:uiPriority w:val="1"/>
    <w:qFormat/>
    <w:rsid w:val="674B62DA"/>
    <w:pPr>
      <w:spacing w:before="40" w:after="40"/>
    </w:pPr>
    <w:rPr>
      <w:b w:val="0"/>
      <w:bCs w:val="0"/>
      <w:color w:val="auto"/>
      <w:sz w:val="22"/>
      <w:szCs w:val="22"/>
    </w:rPr>
  </w:style>
  <w:style w:type="paragraph" w:customStyle="1" w:styleId="Tabletitle">
    <w:name w:val="Table title"/>
    <w:basedOn w:val="Normal"/>
    <w:uiPriority w:val="1"/>
    <w:qFormat/>
    <w:rsid w:val="674B62DA"/>
    <w:pPr>
      <w:spacing w:before="240"/>
    </w:pPr>
    <w:rPr>
      <w:b/>
      <w:bCs/>
    </w:rPr>
  </w:style>
  <w:style w:type="paragraph" w:customStyle="1" w:styleId="ContactusHeading2">
    <w:name w:val="Contact us Heading 2"/>
    <w:basedOn w:val="Heading2"/>
    <w:uiPriority w:val="1"/>
    <w:rsid w:val="674B62DA"/>
    <w:pPr>
      <w:spacing w:before="720"/>
    </w:pPr>
    <w:rPr>
      <w:rFonts w:eastAsia="Times New Roman" w:cs="Times New Roman"/>
      <w:color w:val="2461E5" w:themeColor="accent1"/>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uiPriority w:val="1"/>
    <w:qFormat/>
    <w:rsid w:val="674B62DA"/>
    <w:pPr>
      <w:numPr>
        <w:numId w:val="28"/>
      </w:numPr>
    </w:pPr>
  </w:style>
  <w:style w:type="paragraph" w:customStyle="1" w:styleId="NumberedList2">
    <w:name w:val="Numbered List 2"/>
    <w:basedOn w:val="NumberedList1"/>
    <w:next w:val="Normal"/>
    <w:uiPriority w:val="1"/>
    <w:qFormat/>
    <w:rsid w:val="674B62DA"/>
  </w:style>
  <w:style w:type="paragraph" w:customStyle="1" w:styleId="NumberedList3">
    <w:name w:val="Numbered List 3"/>
    <w:basedOn w:val="NumberedList2"/>
    <w:uiPriority w:val="1"/>
    <w:qFormat/>
    <w:rsid w:val="674B62DA"/>
  </w:style>
  <w:style w:type="numbering" w:customStyle="1" w:styleId="CurrentList16">
    <w:name w:val="Current List16"/>
    <w:uiPriority w:val="99"/>
    <w:rsid w:val="008629FA"/>
    <w:pPr>
      <w:numPr>
        <w:numId w:val="29"/>
      </w:numPr>
    </w:pPr>
  </w:style>
  <w:style w:type="paragraph" w:customStyle="1" w:styleId="Figuretitle">
    <w:name w:val="Figure title"/>
    <w:basedOn w:val="Tabletitle"/>
    <w:uiPriority w:val="1"/>
    <w:qFormat/>
    <w:rsid w:val="674B62DA"/>
  </w:style>
  <w:style w:type="paragraph" w:customStyle="1" w:styleId="Pa36">
    <w:name w:val="Pa36"/>
    <w:basedOn w:val="Normal"/>
    <w:next w:val="Normal"/>
    <w:uiPriority w:val="99"/>
    <w:rsid w:val="674B62DA"/>
    <w:pPr>
      <w:spacing w:after="0" w:line="181" w:lineRule="atLeast"/>
    </w:pPr>
    <w:rPr>
      <w:rFonts w:ascii="WORK SANS MEDIUM ROMAN" w:hAnsi="WORK SANS MEDIUM ROMAN"/>
      <w:sz w:val="24"/>
      <w:szCs w:val="24"/>
      <w:lang w:val="en-GB"/>
    </w:rPr>
  </w:style>
  <w:style w:type="paragraph" w:styleId="TOCHeading">
    <w:name w:val="TOC Heading"/>
    <w:basedOn w:val="Heading1"/>
    <w:next w:val="Normal"/>
    <w:uiPriority w:val="39"/>
    <w:unhideWhenUsed/>
    <w:qFormat/>
    <w:rsid w:val="674B62DA"/>
    <w:rPr>
      <w:rFonts w:asciiTheme="majorHAnsi" w:hAnsiTheme="majorHAnsi"/>
    </w:rPr>
  </w:style>
  <w:style w:type="paragraph" w:styleId="TableofFigures">
    <w:name w:val="table of figures"/>
    <w:basedOn w:val="Normal"/>
    <w:next w:val="Normal"/>
    <w:uiPriority w:val="99"/>
    <w:unhideWhenUsed/>
    <w:rsid w:val="674B62DA"/>
    <w:pPr>
      <w:spacing w:after="0"/>
    </w:pPr>
  </w:style>
  <w:style w:type="character" w:styleId="CommentReference">
    <w:name w:val="annotation reference"/>
    <w:basedOn w:val="DefaultParagraphFont"/>
    <w:uiPriority w:val="99"/>
    <w:semiHidden/>
    <w:unhideWhenUsed/>
    <w:rsid w:val="00605443"/>
    <w:rPr>
      <w:sz w:val="16"/>
      <w:szCs w:val="16"/>
    </w:rPr>
  </w:style>
  <w:style w:type="paragraph" w:styleId="CommentText">
    <w:name w:val="annotation text"/>
    <w:basedOn w:val="Normal"/>
    <w:link w:val="CommentTextChar"/>
    <w:uiPriority w:val="99"/>
    <w:unhideWhenUsed/>
    <w:rsid w:val="674B62DA"/>
    <w:rPr>
      <w:sz w:val="20"/>
      <w:szCs w:val="20"/>
    </w:rPr>
  </w:style>
  <w:style w:type="character" w:customStyle="1" w:styleId="CommentTextChar">
    <w:name w:val="Comment Text Char"/>
    <w:basedOn w:val="DefaultParagraphFont"/>
    <w:link w:val="CommentText"/>
    <w:uiPriority w:val="99"/>
    <w:rsid w:val="674B62DA"/>
    <w:rPr>
      <w:rFonts w:ascii="Arial" w:eastAsiaTheme="minorEastAsia" w:hAnsi="Arial" w:cstheme="minorBidi"/>
      <w:noProof w:val="0"/>
      <w:sz w:val="20"/>
      <w:szCs w:val="20"/>
      <w:lang w:val="en-AU"/>
    </w:rPr>
  </w:style>
  <w:style w:type="paragraph" w:styleId="CommentSubject">
    <w:name w:val="annotation subject"/>
    <w:basedOn w:val="CommentText"/>
    <w:next w:val="CommentText"/>
    <w:link w:val="CommentSubjectChar"/>
    <w:uiPriority w:val="99"/>
    <w:semiHidden/>
    <w:unhideWhenUsed/>
    <w:rsid w:val="674B62DA"/>
    <w:rPr>
      <w:b/>
      <w:bCs/>
    </w:rPr>
  </w:style>
  <w:style w:type="character" w:customStyle="1" w:styleId="CommentSubjectChar">
    <w:name w:val="Comment Subject Char"/>
    <w:basedOn w:val="CommentTextChar"/>
    <w:link w:val="CommentSubject"/>
    <w:uiPriority w:val="99"/>
    <w:semiHidden/>
    <w:rsid w:val="674B62DA"/>
    <w:rPr>
      <w:rFonts w:ascii="Arial" w:eastAsiaTheme="minorEastAsia" w:hAnsi="Arial" w:cstheme="minorBidi"/>
      <w:b/>
      <w:bCs/>
      <w:noProof w:val="0"/>
      <w:sz w:val="20"/>
      <w:szCs w:val="20"/>
      <w:lang w:val="en-AU"/>
    </w:rPr>
  </w:style>
  <w:style w:type="character" w:styleId="UnresolvedMention">
    <w:name w:val="Unresolved Mention"/>
    <w:basedOn w:val="DefaultParagraphFont"/>
    <w:uiPriority w:val="99"/>
    <w:semiHidden/>
    <w:unhideWhenUsed/>
    <w:rsid w:val="00605443"/>
    <w:rPr>
      <w:color w:val="605E5C"/>
      <w:shd w:val="clear" w:color="auto" w:fill="E1DFDD"/>
    </w:rPr>
  </w:style>
  <w:style w:type="character" w:styleId="Strong">
    <w:name w:val="Strong"/>
    <w:basedOn w:val="DefaultParagraphFont"/>
    <w:uiPriority w:val="22"/>
    <w:qFormat/>
    <w:rsid w:val="00FB4EEE"/>
    <w:rPr>
      <w:b/>
      <w:bCs/>
    </w:rPr>
  </w:style>
  <w:style w:type="character" w:styleId="Emphasis">
    <w:name w:val="Emphasis"/>
    <w:basedOn w:val="DefaultParagraphFont"/>
    <w:uiPriority w:val="20"/>
    <w:qFormat/>
    <w:rsid w:val="00FB4EEE"/>
    <w:rPr>
      <w:i/>
      <w:iCs/>
    </w:rPr>
  </w:style>
  <w:style w:type="paragraph" w:styleId="FootnoteText">
    <w:name w:val="footnote text"/>
    <w:basedOn w:val="Normal"/>
    <w:link w:val="FootnoteTextChar"/>
    <w:uiPriority w:val="99"/>
    <w:semiHidden/>
    <w:unhideWhenUsed/>
    <w:rsid w:val="674B62DA"/>
    <w:pPr>
      <w:spacing w:after="0"/>
    </w:pPr>
    <w:rPr>
      <w:sz w:val="20"/>
      <w:szCs w:val="20"/>
    </w:rPr>
  </w:style>
  <w:style w:type="character" w:customStyle="1" w:styleId="FootnoteTextChar">
    <w:name w:val="Footnote Text Char"/>
    <w:basedOn w:val="DefaultParagraphFont"/>
    <w:link w:val="FootnoteText"/>
    <w:uiPriority w:val="99"/>
    <w:semiHidden/>
    <w:rsid w:val="674B62DA"/>
    <w:rPr>
      <w:rFonts w:ascii="Arial" w:eastAsiaTheme="minorEastAsia" w:hAnsi="Arial" w:cstheme="minorBidi"/>
      <w:noProof w:val="0"/>
      <w:sz w:val="20"/>
      <w:szCs w:val="20"/>
      <w:lang w:val="en-AU"/>
    </w:rPr>
  </w:style>
  <w:style w:type="character" w:styleId="FootnoteReference">
    <w:name w:val="footnote reference"/>
    <w:basedOn w:val="DefaultParagraphFont"/>
    <w:uiPriority w:val="99"/>
    <w:semiHidden/>
    <w:unhideWhenUsed/>
    <w:rsid w:val="00FB4EEE"/>
    <w:rPr>
      <w:vertAlign w:val="superscript"/>
    </w:rPr>
  </w:style>
  <w:style w:type="paragraph" w:styleId="Revision">
    <w:name w:val="Revision"/>
    <w:hidden/>
    <w:uiPriority w:val="99"/>
    <w:semiHidden/>
    <w:rsid w:val="00E21270"/>
    <w:rPr>
      <w:rFonts w:ascii="Arial" w:hAnsi="Arial"/>
      <w:sz w:val="22"/>
    </w:rPr>
  </w:style>
  <w:style w:type="paragraph" w:styleId="ListParagraph">
    <w:name w:val="List Paragraph"/>
    <w:basedOn w:val="Normal"/>
    <w:uiPriority w:val="34"/>
    <w:qFormat/>
    <w:rsid w:val="674B62DA"/>
    <w:pPr>
      <w:ind w:left="720"/>
      <w:contextualSpacing/>
    </w:pPr>
  </w:style>
  <w:style w:type="paragraph" w:styleId="Subtitle">
    <w:name w:val="Subtitle"/>
    <w:basedOn w:val="Normal"/>
    <w:next w:val="Normal"/>
    <w:link w:val="SubtitleChar"/>
    <w:uiPriority w:val="11"/>
    <w:qFormat/>
    <w:rsid w:val="674B62DA"/>
    <w:rPr>
      <w:rFonts w:eastAsiaTheme="minorEastAsia"/>
      <w:color w:val="5A5A5A"/>
    </w:rPr>
  </w:style>
  <w:style w:type="paragraph" w:styleId="Quote">
    <w:name w:val="Quote"/>
    <w:basedOn w:val="Normal"/>
    <w:next w:val="Normal"/>
    <w:link w:val="QuoteChar"/>
    <w:uiPriority w:val="29"/>
    <w:qFormat/>
    <w:rsid w:val="674B62DA"/>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674B62DA"/>
    <w:pPr>
      <w:spacing w:before="360" w:after="360"/>
      <w:ind w:left="864" w:right="864"/>
      <w:jc w:val="center"/>
    </w:pPr>
    <w:rPr>
      <w:i/>
      <w:iCs/>
      <w:color w:val="2461E5" w:themeColor="accent1"/>
    </w:rPr>
  </w:style>
  <w:style w:type="character" w:customStyle="1" w:styleId="Heading5Char">
    <w:name w:val="Heading 5 Char"/>
    <w:basedOn w:val="DefaultParagraphFont"/>
    <w:link w:val="Heading5"/>
    <w:uiPriority w:val="9"/>
    <w:rsid w:val="674B62DA"/>
    <w:rPr>
      <w:rFonts w:asciiTheme="majorHAnsi" w:eastAsiaTheme="majorEastAsia" w:hAnsiTheme="majorHAnsi" w:cstheme="majorBidi"/>
      <w:noProof w:val="0"/>
      <w:color w:val="1546B1" w:themeColor="accent1" w:themeShade="BF"/>
      <w:lang w:val="en-AU"/>
    </w:rPr>
  </w:style>
  <w:style w:type="character" w:customStyle="1" w:styleId="Heading6Char">
    <w:name w:val="Heading 6 Char"/>
    <w:basedOn w:val="DefaultParagraphFont"/>
    <w:link w:val="Heading6"/>
    <w:uiPriority w:val="9"/>
    <w:rsid w:val="674B62DA"/>
    <w:rPr>
      <w:rFonts w:asciiTheme="majorHAnsi" w:eastAsiaTheme="majorEastAsia" w:hAnsiTheme="majorHAnsi" w:cstheme="majorBidi"/>
      <w:noProof w:val="0"/>
      <w:color w:val="0E2E75"/>
      <w:lang w:val="en-AU"/>
    </w:rPr>
  </w:style>
  <w:style w:type="character" w:customStyle="1" w:styleId="Heading7Char">
    <w:name w:val="Heading 7 Char"/>
    <w:basedOn w:val="DefaultParagraphFont"/>
    <w:link w:val="Heading7"/>
    <w:uiPriority w:val="9"/>
    <w:rsid w:val="674B62DA"/>
    <w:rPr>
      <w:rFonts w:asciiTheme="majorHAnsi" w:eastAsiaTheme="majorEastAsia" w:hAnsiTheme="majorHAnsi" w:cstheme="majorBidi"/>
      <w:i/>
      <w:iCs/>
      <w:noProof w:val="0"/>
      <w:color w:val="0E2E75"/>
      <w:lang w:val="en-AU"/>
    </w:rPr>
  </w:style>
  <w:style w:type="character" w:customStyle="1" w:styleId="Heading8Char">
    <w:name w:val="Heading 8 Char"/>
    <w:basedOn w:val="DefaultParagraphFont"/>
    <w:link w:val="Heading8"/>
    <w:uiPriority w:val="9"/>
    <w:rsid w:val="674B62DA"/>
    <w:rPr>
      <w:rFonts w:asciiTheme="majorHAnsi" w:eastAsiaTheme="majorEastAsia" w:hAnsiTheme="majorHAnsi" w:cstheme="majorBidi"/>
      <w:noProof w:val="0"/>
      <w:color w:val="272727"/>
      <w:sz w:val="21"/>
      <w:szCs w:val="21"/>
      <w:lang w:val="en-AU"/>
    </w:rPr>
  </w:style>
  <w:style w:type="character" w:customStyle="1" w:styleId="Heading9Char">
    <w:name w:val="Heading 9 Char"/>
    <w:basedOn w:val="DefaultParagraphFont"/>
    <w:link w:val="Heading9"/>
    <w:uiPriority w:val="9"/>
    <w:rsid w:val="674B62DA"/>
    <w:rPr>
      <w:rFonts w:asciiTheme="majorHAnsi" w:eastAsiaTheme="majorEastAsia" w:hAnsiTheme="majorHAnsi" w:cstheme="majorBidi"/>
      <w:i/>
      <w:iCs/>
      <w:noProof w:val="0"/>
      <w:color w:val="272727"/>
      <w:sz w:val="21"/>
      <w:szCs w:val="21"/>
      <w:lang w:val="en-AU"/>
    </w:rPr>
  </w:style>
  <w:style w:type="character" w:customStyle="1" w:styleId="SubtitleChar">
    <w:name w:val="Subtitle Char"/>
    <w:basedOn w:val="DefaultParagraphFont"/>
    <w:link w:val="Subtitle"/>
    <w:uiPriority w:val="11"/>
    <w:rsid w:val="674B62DA"/>
    <w:rPr>
      <w:rFonts w:asciiTheme="minorHAnsi" w:eastAsiaTheme="minorEastAsia" w:hAnsiTheme="minorHAnsi" w:cstheme="minorBidi"/>
      <w:noProof w:val="0"/>
      <w:color w:val="5A5A5A"/>
      <w:lang w:val="en-AU"/>
    </w:rPr>
  </w:style>
  <w:style w:type="character" w:customStyle="1" w:styleId="QuoteChar">
    <w:name w:val="Quote Char"/>
    <w:basedOn w:val="DefaultParagraphFont"/>
    <w:link w:val="Quote"/>
    <w:uiPriority w:val="29"/>
    <w:rsid w:val="674B62DA"/>
    <w:rPr>
      <w:i/>
      <w:iCs/>
      <w:noProof w:val="0"/>
      <w:color w:val="404040" w:themeColor="text1" w:themeTint="BF"/>
      <w:lang w:val="en-AU"/>
    </w:rPr>
  </w:style>
  <w:style w:type="character" w:customStyle="1" w:styleId="IntenseQuoteChar">
    <w:name w:val="Intense Quote Char"/>
    <w:basedOn w:val="DefaultParagraphFont"/>
    <w:link w:val="IntenseQuote"/>
    <w:uiPriority w:val="30"/>
    <w:rsid w:val="674B62DA"/>
    <w:rPr>
      <w:i/>
      <w:iCs/>
      <w:noProof w:val="0"/>
      <w:color w:val="2461E5" w:themeColor="accent1"/>
      <w:lang w:val="en-AU"/>
    </w:rPr>
  </w:style>
  <w:style w:type="paragraph" w:styleId="TOC5">
    <w:name w:val="toc 5"/>
    <w:basedOn w:val="Normal"/>
    <w:next w:val="Normal"/>
    <w:uiPriority w:val="39"/>
    <w:unhideWhenUsed/>
    <w:rsid w:val="674B62DA"/>
    <w:pPr>
      <w:spacing w:after="100"/>
      <w:ind w:left="880"/>
    </w:pPr>
  </w:style>
  <w:style w:type="paragraph" w:styleId="TOC6">
    <w:name w:val="toc 6"/>
    <w:basedOn w:val="Normal"/>
    <w:next w:val="Normal"/>
    <w:uiPriority w:val="39"/>
    <w:unhideWhenUsed/>
    <w:rsid w:val="674B62DA"/>
    <w:pPr>
      <w:spacing w:after="100"/>
      <w:ind w:left="1100"/>
    </w:pPr>
  </w:style>
  <w:style w:type="paragraph" w:styleId="TOC7">
    <w:name w:val="toc 7"/>
    <w:basedOn w:val="Normal"/>
    <w:next w:val="Normal"/>
    <w:uiPriority w:val="39"/>
    <w:unhideWhenUsed/>
    <w:rsid w:val="674B62DA"/>
    <w:pPr>
      <w:spacing w:after="100"/>
      <w:ind w:left="1320"/>
    </w:pPr>
  </w:style>
  <w:style w:type="paragraph" w:styleId="TOC8">
    <w:name w:val="toc 8"/>
    <w:basedOn w:val="Normal"/>
    <w:next w:val="Normal"/>
    <w:uiPriority w:val="39"/>
    <w:unhideWhenUsed/>
    <w:rsid w:val="674B62DA"/>
    <w:pPr>
      <w:spacing w:after="100"/>
      <w:ind w:left="1540"/>
    </w:pPr>
  </w:style>
  <w:style w:type="paragraph" w:styleId="TOC9">
    <w:name w:val="toc 9"/>
    <w:basedOn w:val="Normal"/>
    <w:next w:val="Normal"/>
    <w:uiPriority w:val="39"/>
    <w:unhideWhenUsed/>
    <w:rsid w:val="674B62DA"/>
    <w:pPr>
      <w:spacing w:after="100"/>
      <w:ind w:left="1760"/>
    </w:pPr>
  </w:style>
  <w:style w:type="paragraph" w:styleId="EndnoteText">
    <w:name w:val="endnote text"/>
    <w:basedOn w:val="Normal"/>
    <w:link w:val="EndnoteTextChar"/>
    <w:uiPriority w:val="99"/>
    <w:semiHidden/>
    <w:unhideWhenUsed/>
    <w:rsid w:val="674B62DA"/>
    <w:pPr>
      <w:spacing w:after="0"/>
    </w:pPr>
    <w:rPr>
      <w:sz w:val="20"/>
      <w:szCs w:val="20"/>
    </w:rPr>
  </w:style>
  <w:style w:type="character" w:customStyle="1" w:styleId="EndnoteTextChar">
    <w:name w:val="Endnote Text Char"/>
    <w:basedOn w:val="DefaultParagraphFont"/>
    <w:link w:val="EndnoteText"/>
    <w:uiPriority w:val="99"/>
    <w:semiHidden/>
    <w:rsid w:val="674B62DA"/>
    <w:rPr>
      <w:noProof w:val="0"/>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304524">
      <w:bodyDiv w:val="1"/>
      <w:marLeft w:val="0"/>
      <w:marRight w:val="0"/>
      <w:marTop w:val="0"/>
      <w:marBottom w:val="0"/>
      <w:divBdr>
        <w:top w:val="none" w:sz="0" w:space="0" w:color="auto"/>
        <w:left w:val="none" w:sz="0" w:space="0" w:color="auto"/>
        <w:bottom w:val="none" w:sz="0" w:space="0" w:color="auto"/>
        <w:right w:val="none" w:sz="0" w:space="0" w:color="auto"/>
      </w:divBdr>
    </w:div>
    <w:div w:id="1256400460">
      <w:bodyDiv w:val="1"/>
      <w:marLeft w:val="0"/>
      <w:marRight w:val="0"/>
      <w:marTop w:val="0"/>
      <w:marBottom w:val="0"/>
      <w:divBdr>
        <w:top w:val="none" w:sz="0" w:space="0" w:color="auto"/>
        <w:left w:val="none" w:sz="0" w:space="0" w:color="auto"/>
        <w:bottom w:val="none" w:sz="0" w:space="0" w:color="auto"/>
        <w:right w:val="none" w:sz="0" w:space="0" w:color="auto"/>
      </w:divBdr>
      <w:divsChild>
        <w:div w:id="547229515">
          <w:marLeft w:val="0"/>
          <w:marRight w:val="0"/>
          <w:marTop w:val="0"/>
          <w:marBottom w:val="0"/>
          <w:divBdr>
            <w:top w:val="none" w:sz="0" w:space="0" w:color="auto"/>
            <w:left w:val="none" w:sz="0" w:space="0" w:color="auto"/>
            <w:bottom w:val="none" w:sz="0" w:space="0" w:color="auto"/>
            <w:right w:val="none" w:sz="0" w:space="0" w:color="auto"/>
          </w:divBdr>
        </w:div>
      </w:divsChild>
    </w:div>
    <w:div w:id="1385642263">
      <w:bodyDiv w:val="1"/>
      <w:marLeft w:val="0"/>
      <w:marRight w:val="0"/>
      <w:marTop w:val="0"/>
      <w:marBottom w:val="0"/>
      <w:divBdr>
        <w:top w:val="none" w:sz="0" w:space="0" w:color="auto"/>
        <w:left w:val="none" w:sz="0" w:space="0" w:color="auto"/>
        <w:bottom w:val="none" w:sz="0" w:space="0" w:color="auto"/>
        <w:right w:val="none" w:sz="0" w:space="0" w:color="auto"/>
      </w:divBdr>
      <w:divsChild>
        <w:div w:id="1594624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footer" Target="footer5.xml"/><Relationship Id="rId39" Type="http://schemas.openxmlformats.org/officeDocument/2006/relationships/hyperlink" Target="http://www.bom.gov.au/state-of-the-climate/documents/State-of-the-Climate-2020.pdf"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aidr.org.au/media/1764/aidr_handbookcollection_australian-emergency-management-arrangement_web_2019-08-22_v11.pdf" TargetMode="External"/><Relationship Id="rId42" Type="http://schemas.openxmlformats.org/officeDocument/2006/relationships/hyperlink" Target="http://www.bom.gov.au/metadata/CAP-AU/About.shtml" TargetMode="External"/><Relationship Id="rId47" Type="http://schemas.microsoft.com/office/2020/10/relationships/intelligence" Target="intelligence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hyperlink" Target="https://knowledge.aidr.org.au/media/9105/aidr_australian-warning-system_companion_2021.pdf" TargetMode="External"/><Relationship Id="rId38" Type="http://schemas.openxmlformats.org/officeDocument/2006/relationships/hyperlink" Target="http://www.bom.gov.au/australia/heatwave/knowledge-centre/preparing.shtml"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7.png"/><Relationship Id="rId41" Type="http://schemas.openxmlformats.org/officeDocument/2006/relationships/hyperlink" Target="http://docs.oasis-open.org/emergency/cap/v1.2/CAP-v1.2.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https://www.acs.gov.au/pages/about" TargetMode="External"/><Relationship Id="rId37" Type="http://schemas.openxmlformats.org/officeDocument/2006/relationships/hyperlink" Target="http://www.bom.gov.au/inside/Research_and_Development_Plan_2020-2030.pdf%20Accessed%2023%20December%202021" TargetMode="External"/><Relationship Id="rId40" Type="http://schemas.openxmlformats.org/officeDocument/2006/relationships/hyperlink" Target="https://www.healthline.com/health-news/health-dangers-during-heat-waves-can-be-worse-at-night"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yperlink" Target="http://www.bom.gov.au/strengthen/"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9.png"/><Relationship Id="rId44" Type="http://schemas.openxmlformats.org/officeDocument/2006/relationships/hyperlink" Target="https://library.wmo.int/doc_num.php?explnum_id=790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knowledge.aidr.org.au/resources/handbook-public-information-and-warnings/" TargetMode="External"/><Relationship Id="rId27" Type="http://schemas.openxmlformats.org/officeDocument/2006/relationships/header" Target="header6.xml"/><Relationship Id="rId30" Type="http://schemas.openxmlformats.org/officeDocument/2006/relationships/image" Target="media/image8.png"/><Relationship Id="rId35" Type="http://schemas.openxmlformats.org/officeDocument/2006/relationships/hyperlink" Target="http://www.bom.gov.au/inside/downloads/Bureau-of-Meteorology-Strategy-2017-2022.pdf" TargetMode="External"/><Relationship Id="rId43" Type="http://schemas.openxmlformats.org/officeDocument/2006/relationships/hyperlink" Target="https://www.pean.gov.au/sites/default/files/2021-10/BOM%20%282021%29%20Heatwaves%20report.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Specify the security classification for this document</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28F8E252BB264B9A6FEE7B547B389F" ma:contentTypeVersion="21" ma:contentTypeDescription="Create a new document." ma:contentTypeScope="" ma:versionID="993bb59ad8474f91222977677a9a19ed">
  <xsd:schema xmlns:xsd="http://www.w3.org/2001/XMLSchema" xmlns:xs="http://www.w3.org/2001/XMLSchema" xmlns:p="http://schemas.microsoft.com/office/2006/metadata/properties" xmlns:ns2="c7c9df58-c8ef-41d2-9a65-f7a3e70cddbc" xmlns:ns3="1beb8b15-e6a5-452f-84b2-f824999f2992" targetNamespace="http://schemas.microsoft.com/office/2006/metadata/properties" ma:root="true" ma:fieldsID="8a218479230608e731446f80a936ec80" ns2:_="" ns3:_="">
    <xsd:import namespace="c7c9df58-c8ef-41d2-9a65-f7a3e70cddbc"/>
    <xsd:import namespace="1beb8b15-e6a5-452f-84b2-f824999f29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Recruitment"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9df58-c8ef-41d2-9a65-f7a3e70cdd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Recruitment" ma:index="20" nillable="true" ma:displayName="Recruitment" ma:internalName="Recruitment">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eb8b15-e6a5-452f-84b2-f824999f299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62b0bc2-de5c-4797-8d62-fe4db3399406}" ma:internalName="TaxCatchAll" ma:showField="CatchAllData" ma:web="1beb8b15-e6a5-452f-84b2-f824999f29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beb8b15-e6a5-452f-84b2-f824999f2992" xsi:nil="true"/>
    <Recruitment xmlns="c7c9df58-c8ef-41d2-9a65-f7a3e70cddbc" xsi:nil="true"/>
    <lcf76f155ced4ddcb4097134ff3c332f xmlns="c7c9df58-c8ef-41d2-9a65-f7a3e70cddbc">
      <Terms xmlns="http://schemas.microsoft.com/office/infopath/2007/PartnerControls"/>
    </lcf76f155ced4ddcb4097134ff3c332f>
    <_Flow_SignoffStatus xmlns="c7c9df58-c8ef-41d2-9a65-f7a3e70cddb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3DB6B5-15C4-466A-8033-72502A9B2389}"/>
</file>

<file path=customXml/itemProps3.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4.xml><?xml version="1.0" encoding="utf-8"?>
<ds:datastoreItem xmlns:ds="http://schemas.openxmlformats.org/officeDocument/2006/customXml" ds:itemID="{7C404B5A-4592-4DEF-BB12-4852E84439BD}">
  <ds:schemaRefs>
    <ds:schemaRef ds:uri="http://purl.org/dc/terms/"/>
    <ds:schemaRef ds:uri="c7c9df58-c8ef-41d2-9a65-f7a3e70cddbc"/>
    <ds:schemaRef ds:uri="http://purl.org/dc/dcmitype/"/>
    <ds:schemaRef ds:uri="http://schemas.microsoft.com/office/infopath/2007/PartnerControls"/>
    <ds:schemaRef ds:uri="1beb8b15-e6a5-452f-84b2-f824999f2992"/>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58F77F57-C6F6-4958-8466-2C4EFEBA45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32</Pages>
  <Words>8349</Words>
  <Characters>47590</Characters>
  <Application>Microsoft Office Word</Application>
  <DocSecurity>2</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Heatwave Warning Framework</dc:title>
  <dc:creator>The Bureau of Meteorology</dc:creator>
  <dcterms:created xsi:type="dcterms:W3CDTF">2024-01-09T02:46:00Z</dcterms:created>
  <dcterms:modified xsi:type="dcterms:W3CDTF">2025-05-14T05:17:00Z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0x0101004C28F8E252BB264B9A6FEE7B547B389F</vt:lpwstr>
  </property>
  <property fmtid="{D5CDD505-2E9C-101B-9397-08002B2CF9AE}" pid="4" name="Status">
    <vt:lpwstr>Final (cleared)</vt:lpwstr>
  </property>
  <property fmtid="{D5CDD505-2E9C-101B-9397-08002B2CF9AE}" pid="5" name="Record Activity">
    <vt:lpwstr/>
  </property>
  <property fmtid="{D5CDD505-2E9C-101B-9397-08002B2CF9AE}" pid="6" name="MSIP_Label_55edad5e-85c4-4d99-839f-4db88ccef5c5_Enabled">
    <vt:lpwstr>true</vt:lpwstr>
  </property>
  <property fmtid="{D5CDD505-2E9C-101B-9397-08002B2CF9AE}" pid="7" name="MSIP_Label_55edad5e-85c4-4d99-839f-4db88ccef5c5_SetDate">
    <vt:lpwstr>2025-05-14T05:15:04Z</vt:lpwstr>
  </property>
  <property fmtid="{D5CDD505-2E9C-101B-9397-08002B2CF9AE}" pid="8" name="MSIP_Label_55edad5e-85c4-4d99-839f-4db88ccef5c5_Method">
    <vt:lpwstr>Standard</vt:lpwstr>
  </property>
  <property fmtid="{D5CDD505-2E9C-101B-9397-08002B2CF9AE}" pid="9" name="MSIP_Label_55edad5e-85c4-4d99-839f-4db88ccef5c5_Name">
    <vt:lpwstr>PSPF Official</vt:lpwstr>
  </property>
  <property fmtid="{D5CDD505-2E9C-101B-9397-08002B2CF9AE}" pid="10" name="MSIP_Label_55edad5e-85c4-4d99-839f-4db88ccef5c5_SiteId">
    <vt:lpwstr>d1ad7db5-97dd-4f2b-816e-50d663b7bb94</vt:lpwstr>
  </property>
  <property fmtid="{D5CDD505-2E9C-101B-9397-08002B2CF9AE}" pid="11" name="MSIP_Label_55edad5e-85c4-4d99-839f-4db88ccef5c5_ActionId">
    <vt:lpwstr>852ec342-c879-44ab-bf0f-94defbddf16c</vt:lpwstr>
  </property>
  <property fmtid="{D5CDD505-2E9C-101B-9397-08002B2CF9AE}" pid="12" name="MSIP_Label_55edad5e-85c4-4d99-839f-4db88ccef5c5_ContentBits">
    <vt:lpwstr>3</vt:lpwstr>
  </property>
  <property fmtid="{D5CDD505-2E9C-101B-9397-08002B2CF9AE}" pid="13" name="MSIP_Label_55edad5e-85c4-4d99-839f-4db88ccef5c5_Tag">
    <vt:lpwstr>10, 3, 0, 1</vt:lpwstr>
  </property>
</Properties>
</file>